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18" w:rsidRDefault="00F21818" w:rsidP="00F21818">
      <w:pPr>
        <w:pStyle w:val="a4"/>
        <w:suppressAutoHyphens/>
        <w:jc w:val="center"/>
        <w:rPr>
          <w:rFonts w:ascii="Palatino Linotype" w:hAnsi="Palatino Linotype"/>
          <w:caps w:val="0"/>
          <w:sz w:val="70"/>
          <w:szCs w:val="70"/>
        </w:rPr>
      </w:pPr>
      <w:r>
        <w:rPr>
          <w:rFonts w:ascii="Palatino Linotype" w:hAnsi="Palatino Linotype"/>
          <w:caps w:val="0"/>
          <w:sz w:val="70"/>
          <w:szCs w:val="70"/>
        </w:rPr>
        <w:t>Қ</w:t>
      </w:r>
      <w:r w:rsidRPr="005A296A">
        <w:rPr>
          <w:rFonts w:ascii="Palatino Linotype" w:hAnsi="Palatino Linotype"/>
          <w:caps w:val="0"/>
          <w:sz w:val="70"/>
          <w:szCs w:val="70"/>
        </w:rPr>
        <w:t xml:space="preserve">онуни конститутсионии </w:t>
      </w:r>
      <w:r>
        <w:rPr>
          <w:rFonts w:ascii="Palatino Linotype" w:hAnsi="Palatino Linotype"/>
          <w:caps w:val="0"/>
          <w:sz w:val="70"/>
          <w:szCs w:val="70"/>
        </w:rPr>
        <w:t>Ҷ</w:t>
      </w:r>
      <w:r w:rsidRPr="005A296A">
        <w:rPr>
          <w:rFonts w:ascii="Palatino Linotype" w:hAnsi="Palatino Linotype"/>
          <w:caps w:val="0"/>
          <w:sz w:val="70"/>
          <w:szCs w:val="70"/>
        </w:rPr>
        <w:t>ум</w:t>
      </w:r>
      <w:r>
        <w:rPr>
          <w:rFonts w:ascii="Palatino Linotype" w:hAnsi="Palatino Linotype"/>
          <w:caps w:val="0"/>
          <w:sz w:val="70"/>
          <w:szCs w:val="70"/>
        </w:rPr>
        <w:t>ҳ</w:t>
      </w:r>
      <w:r w:rsidRPr="005A296A">
        <w:rPr>
          <w:rFonts w:ascii="Palatino Linotype" w:hAnsi="Palatino Linotype"/>
          <w:caps w:val="0"/>
          <w:sz w:val="70"/>
          <w:szCs w:val="70"/>
        </w:rPr>
        <w:t>урии То</w:t>
      </w:r>
      <w:r>
        <w:rPr>
          <w:rFonts w:ascii="Palatino Linotype" w:hAnsi="Palatino Linotype"/>
          <w:caps w:val="0"/>
          <w:sz w:val="70"/>
          <w:szCs w:val="70"/>
        </w:rPr>
        <w:t>ҷ</w:t>
      </w:r>
      <w:r w:rsidRPr="005A296A">
        <w:rPr>
          <w:rFonts w:ascii="Palatino Linotype" w:hAnsi="Palatino Linotype"/>
          <w:caps w:val="0"/>
          <w:sz w:val="70"/>
          <w:szCs w:val="70"/>
        </w:rPr>
        <w:t xml:space="preserve">икистон </w:t>
      </w:r>
    </w:p>
    <w:p w:rsidR="00F21818" w:rsidRPr="00F21818" w:rsidRDefault="00F21818" w:rsidP="00F21818">
      <w:pPr>
        <w:pStyle w:val="a4"/>
        <w:suppressAutoHyphens/>
        <w:jc w:val="center"/>
        <w:rPr>
          <w:rFonts w:ascii="Palatino Linotype" w:hAnsi="Palatino Linotype"/>
          <w:bCs w:val="0"/>
          <w:caps w:val="0"/>
          <w:spacing w:val="-3"/>
          <w:sz w:val="40"/>
          <w:szCs w:val="32"/>
        </w:rPr>
      </w:pPr>
      <w:r w:rsidRPr="00F21818">
        <w:rPr>
          <w:rFonts w:ascii="Palatino Linotype" w:hAnsi="Palatino Linotype"/>
          <w:bCs w:val="0"/>
          <w:caps w:val="0"/>
          <w:spacing w:val="-3"/>
          <w:sz w:val="40"/>
          <w:szCs w:val="32"/>
        </w:rPr>
        <w:t>Оид ба ворид намудани тағйиру иловаҳо ба Қонуни конститутсионии Ҷумҳурии Тоҷикистон «Дар бораи судҳои Ҷумҳурии Тоҷикистон»</w:t>
      </w:r>
    </w:p>
    <w:p w:rsidR="00F21818" w:rsidRPr="005A296A" w:rsidRDefault="00F21818" w:rsidP="00F21818">
      <w:pPr>
        <w:pStyle w:val="a4"/>
        <w:suppressAutoHyphens/>
        <w:jc w:val="center"/>
        <w:rPr>
          <w:rFonts w:ascii="Palatino Linotype" w:hAnsi="Palatino Linotype"/>
          <w:b w:val="0"/>
          <w:bCs w:val="0"/>
          <w:spacing w:val="-3"/>
          <w:sz w:val="32"/>
          <w:szCs w:val="32"/>
        </w:rPr>
      </w:pPr>
      <w:r w:rsidRPr="005A296A">
        <w:rPr>
          <w:rFonts w:ascii="Palatino Linotype" w:hAnsi="Palatino Linotype"/>
          <w:b w:val="0"/>
          <w:bCs w:val="0"/>
          <w:spacing w:val="-3"/>
          <w:sz w:val="32"/>
          <w:szCs w:val="32"/>
        </w:rPr>
        <w:t xml:space="preserve">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</w:rPr>
        <w:t>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икистон» аз 26 июли соли 2014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2014,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380; с. 2015, №7-9, мод. 698; с. 2016, № 7, мод. 603; с. 2018, №2, мод. 62; с. 2021, №1-2, мод. 1, №4, мод. 191,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1, мод. 680)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зерин ворид карда шаванд: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3 моддаи 2, матни моддаи 21, сархати сеюми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3 моддаи 23, сархати шашуми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25, сархати якуми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29, сархати якуми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32, ном ва матни моддаи 33, сархати нузда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37, ном ва матни моддаи 59, сархати якуми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62, сархати дуюми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3 моддаи 70, сархат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якум ва дуюми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71, сархат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якум ва чоруми моддаи 73, матни моддаи 76,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82 ва сархати якуми моддаи 123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«граждан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»,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граждан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»,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граждании» ва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гражданиро»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»,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»,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мадании» ва «парванда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маданиро» иваз карда шаванд.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1 ва 2 моддаи 12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108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«забони давлатиро донад»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«забон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иро донад» иваз карда шаванд.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18: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дар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аштум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«сохтани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обилияти амали»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«намудани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обилияти амалкунии» иваз карда шаванд;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сархати шонзда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оиб» ва «фавтида»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оибшуда» ва «вафоткарда» иваз карда шаванд;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сархати нузда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бо мазмуни зерин илова карда шавад: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бо асос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айрисафедкунанда рад кардан аз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ози парвандаи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нисбати судя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атъи пешбурди парвандаи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озод кардани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авобгарии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;».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Дар сархати сиву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37, сархати ёзда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уми моддаи 38, сархати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39, сархати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уми     моддаи 40,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афтуми моддаи 41, сархати сиюми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53, сархати шашуми моддаи 54,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афтуми моддаи 55, сархати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</w:rPr>
        <w:t>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уми моддаи 63, сархати сеюми моддаи 64, сархати дувозда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77,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афтуми моддаи 78, сархати шашуми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83, сархати сеюми моддаи 84 ва сархати сеюми моддаи 89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рвандонро» ва «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абули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рвандон»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намояндагони шахси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иро» ва «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абули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намояндагони шахси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» иваз карда шаванд.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5.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91 пас аз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«омори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«дастрас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иттилоот оид ба фаъолияти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о,» илова карда шаванд.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6. Моддаи 98</w:t>
      </w:r>
      <w:r w:rsidRPr="005A296A">
        <w:rPr>
          <w:rFonts w:ascii="Palatino Linotype" w:hAnsi="Palatino Linotype"/>
          <w:vertAlign w:val="superscript"/>
        </w:rPr>
        <w:t xml:space="preserve">1 </w:t>
      </w:r>
      <w:r w:rsidRPr="005A296A">
        <w:rPr>
          <w:rFonts w:ascii="Palatino Linotype" w:hAnsi="Palatino Linotype"/>
        </w:rPr>
        <w:t>бо мазмуни зерин илова карда шавад:</w:t>
      </w:r>
    </w:p>
    <w:p w:rsidR="00F21818" w:rsidRPr="005A296A" w:rsidRDefault="00F21818" w:rsidP="00F21818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</w:rPr>
        <w:t>«</w:t>
      </w:r>
      <w:r w:rsidRPr="005A296A">
        <w:rPr>
          <w:rFonts w:ascii="Palatino Linotype" w:hAnsi="Palatino Linotype"/>
          <w:b/>
          <w:bCs/>
        </w:rPr>
        <w:t>Моддаи 98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Ташкили дастрас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ба иттилоот оид ба фаъолияти суд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барои дастрас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иттилоот оид ба фаъолияти худ бо тартиби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дахлдор меандешанд. Иттилоот оид ба фаъолияти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дар шакли шифо</w:t>
      </w:r>
      <w:r>
        <w:rPr>
          <w:rFonts w:ascii="Palatino Linotype" w:hAnsi="Palatino Linotype"/>
        </w:rPr>
        <w:t>ҳӣ</w:t>
      </w:r>
      <w:r w:rsidRPr="005A296A">
        <w:rPr>
          <w:rFonts w:ascii="Palatino Linotype" w:hAnsi="Palatino Linotype"/>
        </w:rPr>
        <w:t xml:space="preserve">, </w:t>
      </w:r>
      <w:r w:rsidRPr="005A296A">
        <w:rPr>
          <w:rFonts w:ascii="Palatino Linotype" w:hAnsi="Palatino Linotype"/>
        </w:rPr>
        <w:lastRenderedPageBreak/>
        <w:t>хатт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электрон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шакл­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дигаре, ки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манъ накардааст,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карда мешаванд.».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</w:t>
      </w:r>
      <w:r w:rsidRPr="005A296A">
        <w:rPr>
          <w:rFonts w:ascii="Palatino Linotype" w:hAnsi="Palatino Linotype"/>
        </w:rPr>
        <w:t xml:space="preserve"> </w:t>
      </w:r>
      <w:r w:rsidRPr="005A296A">
        <w:rPr>
          <w:rFonts w:ascii="Palatino Linotype" w:hAnsi="Palatino Linotype"/>
          <w:b/>
          <w:bCs/>
        </w:rPr>
        <w:t>2</w:t>
      </w:r>
      <w:r w:rsidRPr="005A296A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конститутсионии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№2084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</w:p>
    <w:p w:rsidR="00F21818" w:rsidRPr="005A296A" w:rsidRDefault="00F21818" w:rsidP="00F21818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суд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61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­та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миллии 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урии </w:t>
      </w:r>
      <w:proofErr w:type="gramStart"/>
      <w:r w:rsidRPr="005A296A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</w:t>
      </w:r>
      <w:r w:rsidRPr="005A296A">
        <w:rPr>
          <w:rFonts w:ascii="Palatino Linotype" w:hAnsi="Palatino Linotype"/>
          <w:b/>
          <w:bCs/>
        </w:rPr>
        <w:tab/>
      </w:r>
      <w:proofErr w:type="gramEnd"/>
      <w:r w:rsidRPr="005A296A">
        <w:rPr>
          <w:rFonts w:ascii="Palatino Linotype" w:hAnsi="Palatino Linotype"/>
          <w:b/>
          <w:bCs/>
        </w:rPr>
        <w:tab/>
        <w:t xml:space="preserve">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№528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F21818" w:rsidRPr="005A296A" w:rsidRDefault="00F21818" w:rsidP="00F21818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конститутсионии </w:t>
      </w: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суд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­та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F21818" w:rsidRPr="005A296A" w:rsidRDefault="00F21818" w:rsidP="00F21818">
      <w:pPr>
        <w:pStyle w:val="a3"/>
        <w:rPr>
          <w:rFonts w:ascii="Palatino Linotype" w:hAnsi="Palatino Linotype"/>
        </w:rPr>
      </w:pPr>
    </w:p>
    <w:p w:rsidR="00F21818" w:rsidRPr="005A296A" w:rsidRDefault="00F21818" w:rsidP="00F21818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F21818" w:rsidRDefault="00F21818" w:rsidP="00F21818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</w:t>
      </w:r>
      <w:r w:rsidRPr="005A296A">
        <w:rPr>
          <w:rFonts w:ascii="Palatino Linotype" w:hAnsi="Palatino Linotype"/>
          <w:b/>
          <w:bCs/>
        </w:rPr>
        <w:tab/>
        <w:t xml:space="preserve">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F21818" w:rsidP="00F21818">
      <w:pPr>
        <w:pStyle w:val="a3"/>
        <w:ind w:firstLine="0"/>
      </w:pPr>
      <w:bookmarkStart w:id="0" w:name="_GoBack"/>
      <w:bookmarkEnd w:id="0"/>
      <w:r w:rsidRPr="005A296A">
        <w:rPr>
          <w:rFonts w:ascii="Palatino Linotype" w:hAnsi="Palatino Linotype"/>
          <w:b/>
          <w:bCs/>
        </w:rPr>
        <w:t>ш. Душанбе, 12 июни соли 2024, №1346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18"/>
    <w:rsid w:val="00CA4894"/>
    <w:rsid w:val="00F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2BF7"/>
  <w15:chartTrackingRefBased/>
  <w15:docId w15:val="{A8838A0C-A734-4181-A87F-8B4AFC1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2181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21818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21818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2024-11-18T09:45:00Z</dcterms:created>
  <dcterms:modified xsi:type="dcterms:W3CDTF">2024-11-18T09:45:00Z</dcterms:modified>
</cp:coreProperties>
</file>