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C" w:rsidRDefault="00BD75FC" w:rsidP="00ED5B34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ED5B34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p w:rsidR="00ED5B34" w:rsidRPr="00ED5B34" w:rsidRDefault="00ED5B34" w:rsidP="00ED5B34">
      <w:pPr>
        <w:pStyle w:val="a4"/>
        <w:spacing w:line="240" w:lineRule="auto"/>
        <w:jc w:val="center"/>
        <w:rPr>
          <w:rFonts w:ascii="Times New Roman Tj" w:hAnsi="Times New Roman Tj"/>
          <w:bCs w:val="0"/>
          <w:w w:val="100"/>
          <w:sz w:val="28"/>
          <w:szCs w:val="28"/>
        </w:rPr>
      </w:pPr>
      <w:r w:rsidRPr="00ED5B34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Дар бораи ворид намудани таѓйирот ба Кодекси мурофиавии љиноятии </w:t>
      </w:r>
      <w:r w:rsidR="00BD75FC">
        <w:rPr>
          <w:rFonts w:ascii="Times New Roman Tj" w:hAnsi="Times New Roman Tj"/>
          <w:bCs w:val="0"/>
          <w:caps w:val="0"/>
          <w:w w:val="100"/>
          <w:sz w:val="28"/>
          <w:szCs w:val="28"/>
        </w:rPr>
        <w:t>Љумњурии Тољикистон</w:t>
      </w:r>
      <w:bookmarkStart w:id="0" w:name="_GoBack"/>
      <w:bookmarkEnd w:id="0"/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ab/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ED5B34">
        <w:rPr>
          <w:rFonts w:ascii="Times New Roman Tj" w:hAnsi="Times New Roman Tj"/>
          <w:sz w:val="28"/>
          <w:szCs w:val="28"/>
        </w:rPr>
        <w:t xml:space="preserve"> Ба Кодекси мурофиавии љиноятии Љумњурии Тољикистон, ки бо Ќонуни Љумњурии Тољикистон аз 3 декабри соли 2009 ќабул шудааст (Ахбори Маљлиси Олии Љумњурии Тољикистон, с. 2009, №12, мод. 815, мод. 816; с. 2010, №7, мод. 551; с. 2011, №3, мод. 159, №7-</w:t>
      </w:r>
      <w:proofErr w:type="gramStart"/>
      <w:r w:rsidRPr="00ED5B34">
        <w:rPr>
          <w:rFonts w:ascii="Times New Roman Tj" w:hAnsi="Times New Roman Tj"/>
          <w:sz w:val="28"/>
          <w:szCs w:val="28"/>
        </w:rPr>
        <w:t xml:space="preserve">8,   </w:t>
      </w:r>
      <w:proofErr w:type="gramEnd"/>
      <w:r w:rsidRPr="00ED5B34">
        <w:rPr>
          <w:rFonts w:ascii="Times New Roman Tj" w:hAnsi="Times New Roman Tj"/>
          <w:sz w:val="28"/>
          <w:szCs w:val="28"/>
        </w:rPr>
        <w:t xml:space="preserve">мод. 609; с. 2012, №4, мод. 259, №7, мод. 714, №8, мод. 815, №12, ќ. </w:t>
      </w:r>
      <w:proofErr w:type="gramStart"/>
      <w:r w:rsidRPr="00ED5B34">
        <w:rPr>
          <w:rFonts w:ascii="Times New Roman Tj" w:hAnsi="Times New Roman Tj"/>
          <w:sz w:val="28"/>
          <w:szCs w:val="28"/>
        </w:rPr>
        <w:t>1,  мод</w:t>
      </w:r>
      <w:proofErr w:type="gramEnd"/>
      <w:r w:rsidRPr="00ED5B34">
        <w:rPr>
          <w:rFonts w:ascii="Times New Roman Tj" w:hAnsi="Times New Roman Tj"/>
          <w:sz w:val="28"/>
          <w:szCs w:val="28"/>
        </w:rPr>
        <w:t>. 1020, мод. 1025; с. 2013, №7, мод. 510, мод. 511; с. 2014, №3, мод. 142, №11, мод. 643; с. 2015, №11, мод. 950; Ќонуни Љумњурии Тољикистон аз 15 марти соли 2016, №1275), таѓйироти зерин ворид карда шаванд: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 xml:space="preserve">1. Дар ќисми 3 моддаи 24 калимањои «шуда, дар њолати оштї шудани ў бо айбдоршаванда ќатъ карда намешавад, ба истиснои њолатњои пешбининамудаи моддаи 30 Кодекси мазкур.» ба калима ва љумлаи «мешавад. Дар сурати оштї шудани шахси аз љиноят љабрдида бо айбдоршаванда </w:t>
      </w:r>
      <w:proofErr w:type="gramStart"/>
      <w:r w:rsidRPr="00ED5B34">
        <w:rPr>
          <w:rFonts w:ascii="Times New Roman Tj" w:hAnsi="Times New Roman Tj"/>
          <w:sz w:val="28"/>
          <w:szCs w:val="28"/>
        </w:rPr>
        <w:t>ва  барќарор</w:t>
      </w:r>
      <w:proofErr w:type="gramEnd"/>
      <w:r w:rsidRPr="00ED5B34">
        <w:rPr>
          <w:rFonts w:ascii="Times New Roman Tj" w:hAnsi="Times New Roman Tj"/>
          <w:sz w:val="28"/>
          <w:szCs w:val="28"/>
        </w:rPr>
        <w:t xml:space="preserve"> намудани товони зарари ба љабрдида расонидашуда, пешбурди парванда ќатъ карда мешавад.» иваз карда шаванд.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>2. Дар сархати дуюми ќисми 1 моддаи 217 калимаи «маълумот» ба калимаи «тањсилот» иваз карда шавад.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>3. Ќисми 2 моддаи 228 дар тањрири зерин ифода карда шавад: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>«2. Дар протоколи пурсиши якум маълумот дар бораи шахсияти айбдоршаванда, аз љумла насаб, ном, номи падар, рўз, моњ, сол ва мањалли таваллуд, шањрвандї, миллат, тањсилот, вазъи оилавї, љои кор, машѓулият ё вазифа, мањалли истиќомат, ќаблан суд шудан, инчунин маълумотњои дигар, ки барои њолатњои парванда муњиманд, зикр карда мешаванд.».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>4. Дар моддаи 396 калимаи «беморињои» ба калимаи «бемории» иваз карда шавад.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ED5B34">
        <w:rPr>
          <w:rFonts w:ascii="Times New Roman Tj" w:hAnsi="Times New Roman Tj"/>
          <w:sz w:val="28"/>
          <w:szCs w:val="28"/>
        </w:rPr>
        <w:t xml:space="preserve"> Ќонуни мазкур пас аз интишори расмї мавриди амал ќарор дода шавад.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D5B34" w:rsidRPr="00ED5B34" w:rsidRDefault="00ED5B34" w:rsidP="00ED5B34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Президенти Љумњурии </w:t>
      </w:r>
      <w:proofErr w:type="gramStart"/>
      <w:r w:rsidRPr="00ED5B34">
        <w:rPr>
          <w:rFonts w:ascii="Times New Roman Tj" w:hAnsi="Times New Roman Tj"/>
          <w:b/>
          <w:bCs/>
          <w:sz w:val="28"/>
          <w:szCs w:val="28"/>
        </w:rPr>
        <w:t xml:space="preserve">Тољикистон  </w:t>
      </w:r>
      <w:r w:rsidRPr="00ED5B34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ED5B34">
        <w:rPr>
          <w:rFonts w:ascii="Times New Roman Tj" w:hAnsi="Times New Roman Tj"/>
          <w:b/>
          <w:bCs/>
          <w:sz w:val="28"/>
          <w:szCs w:val="28"/>
        </w:rPr>
        <w:t xml:space="preserve"> Эмомалї </w:t>
      </w:r>
      <w:r w:rsidRPr="00ED5B34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ED5B34" w:rsidRPr="00ED5B34" w:rsidRDefault="00ED5B34" w:rsidP="00ED5B34">
      <w:pPr>
        <w:pStyle w:val="a3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>ш. Душанбе, 23 июли соли 2016, №1332</w:t>
      </w:r>
    </w:p>
    <w:p w:rsidR="00ED5B34" w:rsidRPr="00ED5B34" w:rsidRDefault="00ED5B34" w:rsidP="00ED5B34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ED5B34" w:rsidRPr="00ED5B34" w:rsidRDefault="00ED5B34" w:rsidP="00ED5B3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D5B34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ED5B34" w:rsidRPr="00ED5B34" w:rsidRDefault="00ED5B34" w:rsidP="00ED5B34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ED5B34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D5B34" w:rsidRPr="00ED5B34" w:rsidRDefault="00ED5B34" w:rsidP="00ED5B34">
      <w:pPr>
        <w:pStyle w:val="a5"/>
        <w:suppressAutoHyphens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Оид ба ќабул кардани Ќонуни Љумњурии Тољикистон «Дар бораи ворид намудани таѓйирот ба Кодекси мурофиавии </w:t>
      </w:r>
      <w:proofErr w:type="gramStart"/>
      <w:r w:rsidRPr="00ED5B34">
        <w:rPr>
          <w:rFonts w:ascii="Times New Roman Tj" w:hAnsi="Times New Roman Tj"/>
          <w:b/>
          <w:bCs/>
          <w:sz w:val="28"/>
          <w:szCs w:val="28"/>
        </w:rPr>
        <w:t>љиноятии  Љумњурии</w:t>
      </w:r>
      <w:proofErr w:type="gramEnd"/>
      <w:r w:rsidRPr="00ED5B34">
        <w:rPr>
          <w:rFonts w:ascii="Times New Roman Tj" w:hAnsi="Times New Roman Tj"/>
          <w:b/>
          <w:bCs/>
          <w:sz w:val="28"/>
          <w:szCs w:val="28"/>
        </w:rPr>
        <w:t xml:space="preserve"> Тољикистон»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 xml:space="preserve">Маљлиси намояндагони Маљлиси Олии Љумњурии Тољикистон </w:t>
      </w:r>
      <w:r w:rsidRPr="00ED5B34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 xml:space="preserve">Ќонуни Љумњурии Тољикистон «Дар бораи ворид намудани таѓйирот ба Кодекси мурофиавии </w:t>
      </w:r>
      <w:proofErr w:type="gramStart"/>
      <w:r w:rsidRPr="00ED5B34">
        <w:rPr>
          <w:rFonts w:ascii="Times New Roman Tj" w:hAnsi="Times New Roman Tj"/>
          <w:sz w:val="28"/>
          <w:szCs w:val="28"/>
        </w:rPr>
        <w:t>љиноятии  Љумњурии</w:t>
      </w:r>
      <w:proofErr w:type="gramEnd"/>
      <w:r w:rsidRPr="00ED5B34">
        <w:rPr>
          <w:rFonts w:ascii="Times New Roman Tj" w:hAnsi="Times New Roman Tj"/>
          <w:sz w:val="28"/>
          <w:szCs w:val="28"/>
        </w:rPr>
        <w:t xml:space="preserve"> Тољикистон» ќабул карда шавад.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D5B34" w:rsidRPr="00ED5B34" w:rsidRDefault="00ED5B34" w:rsidP="00ED5B3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ED5B34" w:rsidRPr="00ED5B34" w:rsidRDefault="00ED5B34" w:rsidP="00ED5B34">
      <w:pPr>
        <w:pStyle w:val="a5"/>
        <w:spacing w:line="240" w:lineRule="auto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Маљлиси Олии Љумњурии Тољикистон </w:t>
      </w:r>
      <w:r w:rsidRPr="00ED5B34">
        <w:rPr>
          <w:rFonts w:ascii="Times New Roman Tj" w:hAnsi="Times New Roman Tj"/>
          <w:b/>
          <w:bCs/>
          <w:sz w:val="28"/>
          <w:szCs w:val="28"/>
        </w:rPr>
        <w:tab/>
        <w:t xml:space="preserve">            Ш. </w:t>
      </w:r>
      <w:r w:rsidRPr="00ED5B34">
        <w:rPr>
          <w:rFonts w:ascii="Times New Roman Tj" w:hAnsi="Times New Roman Tj"/>
          <w:b/>
          <w:bCs/>
          <w:caps/>
          <w:sz w:val="28"/>
          <w:szCs w:val="28"/>
        </w:rPr>
        <w:t>Зуњуров</w:t>
      </w:r>
    </w:p>
    <w:p w:rsidR="00ED5B34" w:rsidRPr="00ED5B34" w:rsidRDefault="00ED5B34" w:rsidP="00ED5B34">
      <w:pPr>
        <w:pStyle w:val="a5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>ш. Душанбе, 13 майи соли 2016, №439</w:t>
      </w:r>
    </w:p>
    <w:p w:rsidR="00ED5B34" w:rsidRPr="00ED5B34" w:rsidRDefault="00ED5B34" w:rsidP="00ED5B34">
      <w:pPr>
        <w:pStyle w:val="a5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ED5B34" w:rsidRPr="00ED5B34" w:rsidRDefault="00ED5B34" w:rsidP="00ED5B3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D5B34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ED5B34" w:rsidRPr="00ED5B34" w:rsidRDefault="00ED5B34" w:rsidP="00ED5B3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D5B34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ED5B34" w:rsidRPr="00ED5B34" w:rsidRDefault="00ED5B34" w:rsidP="00ED5B34">
      <w:pPr>
        <w:pStyle w:val="a5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ED5B34" w:rsidRPr="00ED5B34" w:rsidRDefault="00ED5B34" w:rsidP="00ED5B34">
      <w:pPr>
        <w:pStyle w:val="a5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Оид ба Ќонуни Љумњурии </w:t>
      </w:r>
      <w:proofErr w:type="gramStart"/>
      <w:r w:rsidRPr="00ED5B34">
        <w:rPr>
          <w:rFonts w:ascii="Times New Roman Tj" w:hAnsi="Times New Roman Tj"/>
          <w:b/>
          <w:bCs/>
          <w:sz w:val="28"/>
          <w:szCs w:val="28"/>
        </w:rPr>
        <w:t>Тољикистон  «</w:t>
      </w:r>
      <w:proofErr w:type="gramEnd"/>
      <w:r w:rsidRPr="00ED5B34">
        <w:rPr>
          <w:rFonts w:ascii="Times New Roman Tj" w:hAnsi="Times New Roman Tj"/>
          <w:b/>
          <w:bCs/>
          <w:sz w:val="28"/>
          <w:szCs w:val="28"/>
        </w:rPr>
        <w:t>Дар бораи ворид намудани таѓйирот ба Кодекси мурофиавии љиноятии Љумњурии Тољикистон»</w:t>
      </w:r>
    </w:p>
    <w:p w:rsidR="00ED5B34" w:rsidRPr="00ED5B34" w:rsidRDefault="00ED5B34" w:rsidP="00ED5B34">
      <w:pPr>
        <w:pStyle w:val="a5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 «Дар бораи ворид намудани таѓйирот ба Кодекси мурофиавии љиноятии Љумњурии </w:t>
      </w:r>
      <w:proofErr w:type="gramStart"/>
      <w:r w:rsidRPr="00ED5B34">
        <w:rPr>
          <w:rFonts w:ascii="Times New Roman Tj" w:hAnsi="Times New Roman Tj"/>
          <w:sz w:val="28"/>
          <w:szCs w:val="28"/>
        </w:rPr>
        <w:t>Тољикистон»-</w:t>
      </w:r>
      <w:proofErr w:type="gramEnd"/>
      <w:r w:rsidRPr="00ED5B34">
        <w:rPr>
          <w:rFonts w:ascii="Times New Roman Tj" w:hAnsi="Times New Roman Tj"/>
          <w:sz w:val="28"/>
          <w:szCs w:val="28"/>
        </w:rPr>
        <w:t xml:space="preserve">ро баррасї намуда, </w:t>
      </w:r>
      <w:r w:rsidRPr="00ED5B34">
        <w:rPr>
          <w:rFonts w:ascii="Times New Roman Tj" w:hAnsi="Times New Roman Tj"/>
          <w:b/>
          <w:bCs/>
          <w:sz w:val="28"/>
          <w:szCs w:val="28"/>
        </w:rPr>
        <w:t>ќарор мекунад</w:t>
      </w:r>
      <w:r w:rsidRPr="00ED5B34">
        <w:rPr>
          <w:rFonts w:ascii="Times New Roman Tj" w:hAnsi="Times New Roman Tj"/>
          <w:sz w:val="28"/>
          <w:szCs w:val="28"/>
        </w:rPr>
        <w:t xml:space="preserve">:    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ED5B34">
        <w:rPr>
          <w:rFonts w:ascii="Times New Roman Tj" w:hAnsi="Times New Roman Tj"/>
          <w:sz w:val="28"/>
          <w:szCs w:val="28"/>
        </w:rPr>
        <w:t>Ќонуни Љумњурии Тољикистон «Дар бораи ворид намудани таѓйирот ба Кодекси мурофиавии љиноятии Љумњурии Тољикистон» љонибдорї карда шавад.</w:t>
      </w:r>
    </w:p>
    <w:p w:rsidR="00ED5B34" w:rsidRPr="00ED5B34" w:rsidRDefault="00ED5B34" w:rsidP="00ED5B34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ED5B34" w:rsidRPr="00ED5B34" w:rsidRDefault="00ED5B34" w:rsidP="00ED5B3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ED5B34" w:rsidRPr="00ED5B34" w:rsidRDefault="00ED5B34" w:rsidP="00ED5B3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Олии Љумњурии Тољикистон                      М. </w:t>
      </w:r>
      <w:r w:rsidRPr="00ED5B3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ED5B34" w:rsidRPr="00ED5B34" w:rsidRDefault="00ED5B34" w:rsidP="00ED5B34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D5B34">
        <w:rPr>
          <w:rFonts w:ascii="Times New Roman Tj" w:hAnsi="Times New Roman Tj"/>
          <w:b/>
          <w:bCs/>
          <w:sz w:val="28"/>
          <w:szCs w:val="28"/>
        </w:rPr>
        <w:t xml:space="preserve">ш. </w:t>
      </w:r>
      <w:proofErr w:type="gramStart"/>
      <w:r w:rsidRPr="00ED5B34">
        <w:rPr>
          <w:rFonts w:ascii="Times New Roman Tj" w:hAnsi="Times New Roman Tj"/>
          <w:b/>
          <w:bCs/>
          <w:sz w:val="28"/>
          <w:szCs w:val="28"/>
        </w:rPr>
        <w:t>Душанбе,  15</w:t>
      </w:r>
      <w:proofErr w:type="gramEnd"/>
      <w:r w:rsidRPr="00ED5B34">
        <w:rPr>
          <w:rFonts w:ascii="Times New Roman Tj" w:hAnsi="Times New Roman Tj"/>
          <w:b/>
          <w:bCs/>
          <w:sz w:val="28"/>
          <w:szCs w:val="28"/>
        </w:rPr>
        <w:t xml:space="preserve"> июли соли 2016, № 258</w:t>
      </w:r>
    </w:p>
    <w:p w:rsidR="003C0D7C" w:rsidRPr="00ED5B34" w:rsidRDefault="003C0D7C" w:rsidP="00ED5B34">
      <w:pPr>
        <w:rPr>
          <w:szCs w:val="28"/>
        </w:rPr>
      </w:pPr>
    </w:p>
    <w:sectPr w:rsidR="003C0D7C" w:rsidRPr="00ED5B34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4"/>
    <w:rsid w:val="003C0D7C"/>
    <w:rsid w:val="00BD75FC"/>
    <w:rsid w:val="00E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2E05-3B17-4EF1-9C35-6B8C3DC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D5B3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D5B3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ED5B34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ED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2016-08-01T04:52:00Z</dcterms:created>
  <dcterms:modified xsi:type="dcterms:W3CDTF">2016-08-01T04:53:00Z</dcterms:modified>
</cp:coreProperties>
</file>