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65" w:rsidRDefault="00662D55" w:rsidP="00A620D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662D55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662D5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62D55" w:rsidRPr="00662D55" w:rsidRDefault="00662D55" w:rsidP="00A620D3">
      <w:pPr>
        <w:pStyle w:val="20"/>
        <w:spacing w:line="240" w:lineRule="auto"/>
        <w:jc w:val="both"/>
        <w:rPr>
          <w:rFonts w:ascii="Palatino Linotype" w:hAnsi="Palatino Linotype"/>
          <w:b w:val="0"/>
          <w:bCs w:val="0"/>
          <w:sz w:val="28"/>
          <w:szCs w:val="28"/>
        </w:rPr>
      </w:pPr>
      <w:r w:rsidRPr="00662D55">
        <w:rPr>
          <w:rFonts w:ascii="Palatino Linotype" w:hAnsi="Palatino Linotype"/>
          <w:caps w:val="0"/>
          <w:sz w:val="28"/>
          <w:szCs w:val="28"/>
        </w:rPr>
        <w:t>Дар бораи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662D55">
        <w:rPr>
          <w:rFonts w:ascii="Palatino Linotype" w:hAnsi="Palatino Linotype"/>
          <w:caps w:val="0"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662D5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662D55">
        <w:rPr>
          <w:rFonts w:ascii="Palatino Linotype" w:hAnsi="Palatino Linotype"/>
          <w:caps w:val="0"/>
          <w:sz w:val="28"/>
          <w:szCs w:val="28"/>
        </w:rPr>
        <w:t>у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662D55">
        <w:rPr>
          <w:rFonts w:ascii="Palatino Linotype" w:hAnsi="Palatino Linotype"/>
          <w:caps w:val="0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662D5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икистон</w:t>
      </w:r>
      <w:r w:rsidRPr="00662D55">
        <w:rPr>
          <w:rFonts w:ascii="Palatino Linotype" w:hAnsi="Palatino Linotype"/>
          <w:b w:val="0"/>
          <w:bCs w:val="0"/>
          <w:caps w:val="0"/>
          <w:sz w:val="28"/>
          <w:szCs w:val="28"/>
        </w:rPr>
        <w:t xml:space="preserve"> 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662D55">
        <w:rPr>
          <w:rFonts w:ascii="Palatino Linotype" w:hAnsi="Palatino Linotype"/>
          <w:sz w:val="28"/>
          <w:szCs w:val="28"/>
        </w:rPr>
        <w:t xml:space="preserve">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аз 22 июли соли 2013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икистон, с. 2013, №7, мод. 502; с. 2014, №3, мод. 145; №7,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. 1, мод. 391; №11, мод. 644;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аз 18 марти соли 2015, №1180) та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>йиру иловаи зерин ворид карда шаванд: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1. Дар моддаи 94: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- дар ном ва матни модда калима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ои «, шу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 xml:space="preserve">л ва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ифзи и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тимоии 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ол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>» ба калима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ои «</w:t>
      </w:r>
      <w:proofErr w:type="gramStart"/>
      <w:r w:rsidRPr="00662D55">
        <w:rPr>
          <w:rFonts w:ascii="Palatino Linotype" w:hAnsi="Palatino Linotype"/>
          <w:sz w:val="28"/>
          <w:szCs w:val="28"/>
        </w:rPr>
        <w:t>ва шу</w:t>
      </w:r>
      <w:proofErr w:type="gramEnd"/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>ли 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ол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>» иваз карда шаванд;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 xml:space="preserve">- дар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исми 1 калима </w:t>
      </w:r>
      <w:proofErr w:type="gramStart"/>
      <w:r w:rsidRPr="00662D55">
        <w:rPr>
          <w:rFonts w:ascii="Palatino Linotype" w:hAnsi="Palatino Linotype"/>
          <w:sz w:val="28"/>
          <w:szCs w:val="28"/>
        </w:rPr>
        <w:t>ва ра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ои «, 139, 140, 619, 621 ва 622» ба калима ва ра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ами «ва 139» иваз карда шаванд.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2. Ба Кодекс моддаи 121</w:t>
      </w:r>
      <w:r w:rsidRPr="00662D55">
        <w:rPr>
          <w:rFonts w:ascii="Palatino Linotype" w:hAnsi="Palatino Linotype"/>
          <w:sz w:val="28"/>
          <w:szCs w:val="28"/>
          <w:vertAlign w:val="superscript"/>
        </w:rPr>
        <w:t>1</w:t>
      </w:r>
      <w:r w:rsidRPr="00662D55">
        <w:rPr>
          <w:rFonts w:ascii="Palatino Linotype" w:hAnsi="Palatino Linotype"/>
          <w:sz w:val="28"/>
          <w:szCs w:val="28"/>
        </w:rPr>
        <w:t xml:space="preserve"> бо мазмуни зерин илова карда шавад: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«</w:t>
      </w:r>
      <w:r w:rsidRPr="00662D55">
        <w:rPr>
          <w:rFonts w:ascii="Palatino Linotype" w:hAnsi="Palatino Linotype"/>
          <w:b/>
          <w:bCs/>
          <w:sz w:val="28"/>
          <w:szCs w:val="28"/>
        </w:rPr>
        <w:t>Моддаи 121</w:t>
      </w:r>
      <w:r w:rsidRPr="00662D55">
        <w:rPr>
          <w:rFonts w:ascii="Palatino Linotype" w:hAnsi="Palatino Linotype"/>
          <w:b/>
          <w:bCs/>
          <w:sz w:val="28"/>
          <w:szCs w:val="28"/>
          <w:vertAlign w:val="superscript"/>
        </w:rPr>
        <w:t>1</w:t>
      </w:r>
      <w:r w:rsidRPr="00662D55">
        <w:rPr>
          <w:rFonts w:ascii="Palatino Linotype" w:hAnsi="Palatino Linotype"/>
          <w:b/>
          <w:bCs/>
          <w:sz w:val="28"/>
          <w:szCs w:val="28"/>
        </w:rPr>
        <w:t>. Ма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омоти су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662D55">
        <w:rPr>
          <w:rFonts w:ascii="Palatino Linotype" w:hAnsi="Palatino Linotype"/>
          <w:b/>
          <w:bCs/>
          <w:sz w:val="28"/>
          <w:szCs w:val="28"/>
        </w:rPr>
        <w:t>уртаи и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тимо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 ва нафа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а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1. Ма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омоти су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>уртаи и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ва нафа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 дар доираи ваколат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ои худ парванда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вайронкунии маъмуриеро, ки дар модда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 xml:space="preserve">ои 140, 619, 621 ва 622 Кодекси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пешбин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гардидаанд, баррас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менамоянд.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2. Барои баррасии парванда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вайронкунии маъмур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ва таъини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азои маъмур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аз номи ма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омоти су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>уртаи и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ва нафа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 директори Агентии су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>уртаи и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тимо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ва нафа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аи назди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ва сардорони раёсат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ои он дар Вилояти Мухтори К</w:t>
      </w:r>
      <w:r>
        <w:rPr>
          <w:rFonts w:ascii="Palatino Linotype" w:hAnsi="Palatino Linotype"/>
          <w:sz w:val="28"/>
          <w:szCs w:val="28"/>
        </w:rPr>
        <w:t>ӯҳ</w:t>
      </w:r>
      <w:r w:rsidRPr="00662D55">
        <w:rPr>
          <w:rFonts w:ascii="Palatino Linotype" w:hAnsi="Palatino Linotype"/>
          <w:sz w:val="28"/>
          <w:szCs w:val="28"/>
        </w:rPr>
        <w:t>истони Бадахшон, вилоят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о ва ша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 xml:space="preserve">ри Душанбе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 доранд.».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662D5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арор дода шавад.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662D55">
        <w:rPr>
          <w:rFonts w:ascii="Palatino Linotype" w:hAnsi="Palatino Linotype"/>
          <w:b/>
          <w:bCs/>
          <w:sz w:val="28"/>
          <w:szCs w:val="28"/>
        </w:rPr>
        <w:tab/>
      </w:r>
      <w:r w:rsidRPr="00662D55">
        <w:rPr>
          <w:rFonts w:ascii="Palatino Linotype" w:hAnsi="Palatino Linotype"/>
          <w:b/>
          <w:bCs/>
          <w:sz w:val="28"/>
          <w:szCs w:val="28"/>
        </w:rPr>
        <w:tab/>
        <w:t xml:space="preserve">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662D55" w:rsidRPr="00662D55" w:rsidRDefault="00662D55" w:rsidP="00A620D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ш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662D55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 xml:space="preserve"> 2015 №1222 </w:t>
      </w:r>
    </w:p>
    <w:p w:rsidR="00A620D3" w:rsidRDefault="00A620D3" w:rsidP="00A620D3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662D55">
        <w:rPr>
          <w:rFonts w:ascii="Palatino Linotype" w:hAnsi="Palatino Linotype"/>
          <w:sz w:val="28"/>
          <w:szCs w:val="28"/>
        </w:rPr>
        <w:t xml:space="preserve">арори </w:t>
      </w: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62D5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62D5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662D5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62D55" w:rsidRPr="00662D55" w:rsidRDefault="00662D55" w:rsidP="00A620D3">
      <w:pPr>
        <w:pStyle w:val="a4"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662D55" w:rsidRPr="00662D55" w:rsidRDefault="00662D55" w:rsidP="00A620D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икистон 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абул карда шавад.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икистон  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662D55" w:rsidRPr="00662D55" w:rsidRDefault="00662D55" w:rsidP="00A620D3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ш. Душанбе, 8 апрели соли 2015  №46</w:t>
      </w:r>
    </w:p>
    <w:p w:rsidR="00A620D3" w:rsidRDefault="00A620D3" w:rsidP="00A620D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арори </w:t>
      </w: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62D55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662D55" w:rsidRPr="00662D55" w:rsidRDefault="00662D55" w:rsidP="00A620D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62D55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662D5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662D5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662D55" w:rsidRPr="00662D55" w:rsidRDefault="00662D55" w:rsidP="00A620D3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у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proofErr w:type="gramStart"/>
      <w:r w:rsidRPr="00662D55">
        <w:rPr>
          <w:rFonts w:ascii="Palatino Linotype" w:hAnsi="Palatino Linotype"/>
          <w:sz w:val="28"/>
          <w:szCs w:val="28"/>
        </w:rPr>
        <w:t>у</w:t>
      </w:r>
      <w:proofErr w:type="gramEnd"/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662D55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икистон «Дар бораи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662D55">
        <w:rPr>
          <w:rFonts w:ascii="Palatino Linotype" w:hAnsi="Palatino Linotype"/>
          <w:sz w:val="28"/>
          <w:szCs w:val="28"/>
        </w:rPr>
        <w:t xml:space="preserve">йиру илова ба Кодекси мурофиаи 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Pr="00662D55">
        <w:rPr>
          <w:rFonts w:ascii="Palatino Linotype" w:hAnsi="Palatino Linotype"/>
          <w:sz w:val="28"/>
          <w:szCs w:val="28"/>
        </w:rPr>
        <w:t xml:space="preserve">вайронкунии маъмурии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662D5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Pr="00662D55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662D55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662D55" w:rsidRPr="00662D55" w:rsidRDefault="00662D55" w:rsidP="00A620D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sz w:val="28"/>
          <w:szCs w:val="28"/>
        </w:rPr>
        <w:t xml:space="preserve">             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  Раиси </w:t>
      </w: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662D55" w:rsidRPr="00662D55" w:rsidRDefault="00662D55" w:rsidP="00A620D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662D5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2D5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2D55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662D55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662D55">
        <w:rPr>
          <w:rFonts w:ascii="Palatino Linotype" w:hAnsi="Palatino Linotype"/>
          <w:b/>
          <w:bCs/>
          <w:sz w:val="28"/>
          <w:szCs w:val="28"/>
        </w:rPr>
        <w:tab/>
        <w:t xml:space="preserve">  </w:t>
      </w:r>
      <w:r w:rsidR="00A620D3">
        <w:rPr>
          <w:rFonts w:ascii="Palatino Linotype" w:hAnsi="Palatino Linotype"/>
          <w:b/>
          <w:bCs/>
          <w:sz w:val="28"/>
          <w:szCs w:val="28"/>
        </w:rPr>
        <w:t xml:space="preserve">                                 </w:t>
      </w:r>
      <w:r w:rsidRPr="00662D55">
        <w:rPr>
          <w:rFonts w:ascii="Palatino Linotype" w:hAnsi="Palatino Linotype"/>
          <w:b/>
          <w:bCs/>
          <w:sz w:val="28"/>
          <w:szCs w:val="28"/>
        </w:rPr>
        <w:t>М.</w:t>
      </w:r>
      <w:r w:rsidRPr="00662D55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AC300A" w:rsidRPr="00662D55" w:rsidRDefault="00662D55" w:rsidP="00A620D3">
      <w:pPr>
        <w:pStyle w:val="a4"/>
        <w:spacing w:line="240" w:lineRule="auto"/>
        <w:ind w:firstLine="0"/>
        <w:jc w:val="right"/>
        <w:rPr>
          <w:rFonts w:ascii="Palatino Linotype" w:hAnsi="Palatino Linotype"/>
          <w:sz w:val="28"/>
          <w:szCs w:val="28"/>
        </w:rPr>
      </w:pPr>
      <w:r w:rsidRPr="00662D55">
        <w:rPr>
          <w:rFonts w:ascii="Palatino Linotype" w:hAnsi="Palatino Linotype"/>
          <w:b/>
          <w:bCs/>
          <w:sz w:val="28"/>
          <w:szCs w:val="28"/>
        </w:rPr>
        <w:t>ш. Душанбе, 21 июли соли 2015 №83</w:t>
      </w:r>
    </w:p>
    <w:sectPr w:rsidR="00AC300A" w:rsidRPr="00662D55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662D55"/>
    <w:rsid w:val="004466A5"/>
    <w:rsid w:val="005D0672"/>
    <w:rsid w:val="00662D55"/>
    <w:rsid w:val="00A60B3B"/>
    <w:rsid w:val="00A620D3"/>
    <w:rsid w:val="00AC300A"/>
    <w:rsid w:val="00F7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662D5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662D55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662D5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2015-08-13T06:09:00Z</dcterms:created>
  <dcterms:modified xsi:type="dcterms:W3CDTF">2015-08-13T06:11:00Z</dcterms:modified>
</cp:coreProperties>
</file>