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62" w:rsidRDefault="000C5162" w:rsidP="000C5162">
      <w:pPr>
        <w:pStyle w:val="a4"/>
        <w:suppressAutoHyphens/>
        <w:jc w:val="center"/>
        <w:rPr>
          <w:rFonts w:ascii="Palatino Linotype" w:hAnsi="Palatino Linotype"/>
          <w:caps w:val="0"/>
          <w:sz w:val="78"/>
          <w:szCs w:val="78"/>
        </w:rPr>
      </w:pPr>
      <w:r>
        <w:rPr>
          <w:rFonts w:ascii="Palatino Linotype" w:hAnsi="Palatino Linotype"/>
          <w:caps w:val="0"/>
          <w:sz w:val="78"/>
          <w:szCs w:val="78"/>
        </w:rPr>
        <w:t>Қ</w:t>
      </w:r>
      <w:r w:rsidRPr="005A296A">
        <w:rPr>
          <w:rFonts w:ascii="Palatino Linotype" w:hAnsi="Palatino Linotype"/>
          <w:caps w:val="0"/>
          <w:sz w:val="78"/>
          <w:szCs w:val="78"/>
        </w:rPr>
        <w:t xml:space="preserve">онуни </w:t>
      </w:r>
      <w:r>
        <w:rPr>
          <w:rFonts w:ascii="Palatino Linotype" w:hAnsi="Palatino Linotype"/>
          <w:caps w:val="0"/>
          <w:sz w:val="78"/>
          <w:szCs w:val="78"/>
        </w:rPr>
        <w:t>Ҷ</w:t>
      </w:r>
      <w:r w:rsidRPr="005A296A">
        <w:rPr>
          <w:rFonts w:ascii="Palatino Linotype" w:hAnsi="Palatino Linotype"/>
          <w:caps w:val="0"/>
          <w:sz w:val="78"/>
          <w:szCs w:val="78"/>
        </w:rPr>
        <w:t>ум</w:t>
      </w:r>
      <w:r>
        <w:rPr>
          <w:rFonts w:ascii="Palatino Linotype" w:hAnsi="Palatino Linotype"/>
          <w:caps w:val="0"/>
          <w:sz w:val="78"/>
          <w:szCs w:val="78"/>
        </w:rPr>
        <w:t>ҳ</w:t>
      </w:r>
      <w:r w:rsidRPr="005A296A">
        <w:rPr>
          <w:rFonts w:ascii="Palatino Linotype" w:hAnsi="Palatino Linotype"/>
          <w:caps w:val="0"/>
          <w:sz w:val="78"/>
          <w:szCs w:val="78"/>
        </w:rPr>
        <w:t>урии То</w:t>
      </w:r>
      <w:r>
        <w:rPr>
          <w:rFonts w:ascii="Palatino Linotype" w:hAnsi="Palatino Linotype"/>
          <w:caps w:val="0"/>
          <w:sz w:val="78"/>
          <w:szCs w:val="78"/>
        </w:rPr>
        <w:t>ҷ</w:t>
      </w:r>
      <w:r w:rsidRPr="005A296A">
        <w:rPr>
          <w:rFonts w:ascii="Palatino Linotype" w:hAnsi="Palatino Linotype"/>
          <w:caps w:val="0"/>
          <w:sz w:val="78"/>
          <w:szCs w:val="78"/>
        </w:rPr>
        <w:t>икистон</w:t>
      </w:r>
    </w:p>
    <w:p w:rsidR="000C5162" w:rsidRPr="000C5162" w:rsidRDefault="000C5162" w:rsidP="000C5162">
      <w:pPr>
        <w:pStyle w:val="a4"/>
        <w:suppressAutoHyphens/>
        <w:jc w:val="center"/>
        <w:rPr>
          <w:rFonts w:ascii="Palatino Linotype" w:hAnsi="Palatino Linotype"/>
          <w:bCs w:val="0"/>
          <w:sz w:val="44"/>
          <w:szCs w:val="34"/>
        </w:rPr>
      </w:pPr>
      <w:bookmarkStart w:id="0" w:name="_GoBack"/>
      <w:r w:rsidRPr="000C5162">
        <w:rPr>
          <w:rFonts w:ascii="Palatino Linotype" w:hAnsi="Palatino Linotype"/>
          <w:caps w:val="0"/>
          <w:sz w:val="160"/>
          <w:szCs w:val="78"/>
        </w:rPr>
        <w:t xml:space="preserve"> </w:t>
      </w:r>
      <w:r w:rsidRPr="000C5162">
        <w:rPr>
          <w:rFonts w:ascii="Palatino Linotype" w:hAnsi="Palatino Linotype"/>
          <w:bCs w:val="0"/>
          <w:caps w:val="0"/>
          <w:sz w:val="44"/>
          <w:szCs w:val="34"/>
        </w:rPr>
        <w:t>Дар бораи ворид намудани тағйиру иловаҳо ба Кодекси мурофиавии мадании Ҷумҳурии Тоҷикистон</w:t>
      </w:r>
    </w:p>
    <w:bookmarkEnd w:id="0"/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 xml:space="preserve">Моддаи 1. </w:t>
      </w:r>
      <w:r w:rsidRPr="005A296A">
        <w:rPr>
          <w:rFonts w:ascii="Palatino Linotype" w:hAnsi="Palatino Linotype"/>
        </w:rPr>
        <w:t xml:space="preserve">Ба Кодекси мурофиавии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ки бо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аз 5 январи соли 2008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2008, №1,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6, мод. 7; с. 2010, №1, мод. 6; с. 2012, №7, мод. 72; с. 2014,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</w:t>
      </w:r>
      <w:proofErr w:type="gramStart"/>
      <w:r w:rsidRPr="005A296A">
        <w:rPr>
          <w:rFonts w:ascii="Palatino Linotype" w:hAnsi="Palatino Linotype"/>
        </w:rPr>
        <w:t>388,  №</w:t>
      </w:r>
      <w:proofErr w:type="gramEnd"/>
      <w:r w:rsidRPr="005A296A">
        <w:rPr>
          <w:rFonts w:ascii="Palatino Linotype" w:hAnsi="Palatino Linotype"/>
        </w:rPr>
        <w:t xml:space="preserve">12, мод. 821; с. 2015, №11, мод. 953; с. 2016, №5, мод. 360; с. 2018, №1, мод. 6; с. 2019, №1, мод. 6, № 6, мод. 314; с. 2020, № 7-9, мод. 603; с. </w:t>
      </w:r>
      <w:proofErr w:type="gramStart"/>
      <w:r w:rsidRPr="005A296A">
        <w:rPr>
          <w:rFonts w:ascii="Palatino Linotype" w:hAnsi="Palatino Linotype"/>
        </w:rPr>
        <w:t>2021,  №</w:t>
      </w:r>
      <w:proofErr w:type="gramEnd"/>
      <w:r w:rsidRPr="005A296A">
        <w:rPr>
          <w:rFonts w:ascii="Palatino Linotype" w:hAnsi="Palatino Linotype"/>
        </w:rPr>
        <w:t xml:space="preserve">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691; с. 2022, №1-3, мод. 6, мод. 7, №7, мод. 440,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2, мод. 770; с. 2023, №11, мод. 460; с. 2024, №1-2, мод. 7),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ворид карда шаванд: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Дар моддаи 225: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сархати шашум аломати ну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тавергул «;» иваз карда шавад;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афтум бо мазмуни зерин илова карда шавад: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дорои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бошад.».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Моддаи 390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«Моддаи 390. Масунияти судии ташкилот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байналмилал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. Масунияти дипломат</w:t>
      </w:r>
      <w:r>
        <w:rPr>
          <w:rFonts w:ascii="Palatino Linotype" w:hAnsi="Palatino Linotype"/>
          <w:b/>
          <w:bCs/>
        </w:rPr>
        <w:t>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Масунияти судии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байналмилалие, ки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оро эътироф кардааст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муайян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Даст кашидан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бояд бо тартиби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ташкилоти байналмилал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амал бароварда шавад. Дар ин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 суд парвандаро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Кодекси мазкур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менамояд.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Намояндаги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дипломатии давлат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ие, ки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аккредитатсия шудаанд, дигар шахсони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 ё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ии байналмилалии эътирофнамудаи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зикргардида вобаста ба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доираи муайяннамудаи меъёри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байналмилалии эътирофнамудаи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мавриди юрисдиксияи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доранд.».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Боби 43</w:t>
      </w:r>
      <w:r w:rsidRPr="005A296A">
        <w:rPr>
          <w:rFonts w:ascii="Palatino Linotype" w:hAnsi="Palatino Linotype"/>
          <w:vertAlign w:val="superscript"/>
        </w:rPr>
        <w:t>1</w:t>
      </w:r>
      <w:r w:rsidRPr="005A296A">
        <w:rPr>
          <w:rFonts w:ascii="Palatino Linotype" w:hAnsi="Palatino Linotype"/>
        </w:rPr>
        <w:t xml:space="preserve"> бо мазмуни зерин илова карда шавад: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«БОБИ 43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ИСТЕ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СОЛОТИ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БО ИШТИРОКИ ДАВЛАТИ ХОРИ</w:t>
      </w:r>
      <w:r>
        <w:rPr>
          <w:rFonts w:ascii="Palatino Linotype" w:hAnsi="Palatino Linotype"/>
          <w:b/>
          <w:bCs/>
        </w:rPr>
        <w:t>ҶӢ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Исте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солоти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бо иштироки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 xml:space="preserve">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намудани даъво ба суди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алби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ати иштирок дар парванда ба сифати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авобгар ё шахси сеюм, гузоштани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абс ба молу мулки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тааллу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дошта, 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дорад, андешидани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таъминотии дигар нисбат ба ин молу мулк, ситониш аз ин молу мулк бо тартиби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суд, инчунин баррасии дархост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дар бораи эътироф ва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бурии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икистон» ва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Кодекси мазкур, агар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оро эътироф кардааст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тартиби дигарро пешбин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накарда бошанд,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 тартиби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умумии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хусусият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мазкур, боб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42 ва 43 Кодекси мазкур ва дигар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мешаванд. Дархост дар бораи эътироф ва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бурии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44 Кодекси мазкур, бо хусусият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мазкур,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Суд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иштироки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иро то гузаштани н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 xml:space="preserve">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зи ба суд ворид шудани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 менамояд.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2</w:t>
      </w:r>
      <w:r w:rsidRPr="005A296A">
        <w:rPr>
          <w:rFonts w:ascii="Palatino Linotype" w:hAnsi="Palatino Linotype"/>
          <w:b/>
          <w:bCs/>
        </w:rPr>
        <w:t>. Тобеияти судии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мадан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бо иштироки давлати хори</w:t>
      </w:r>
      <w:r>
        <w:rPr>
          <w:rFonts w:ascii="Palatino Linotype" w:hAnsi="Palatino Linotype"/>
          <w:b/>
          <w:bCs/>
        </w:rPr>
        <w:t>ҷӣ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Тобеияти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боби 3 Кодекси мазкур муайян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ба истиснои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дар модда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27 ва 28 Кодекси мазкур пешбин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шудаанд,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ониби Суди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икистон, Суди Вилояти Мухтори К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истони Бадахшон,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вилоят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ва суди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 Душанбе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мешаванд.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Даъво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 суди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омат ё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ойгиршавии даъвогар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Дархост дар бораи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бурии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молу мулки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, 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 дорад,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суди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алли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ойгиршавии ин молу мулк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3</w:t>
      </w:r>
      <w:r w:rsidRPr="005A296A">
        <w:rPr>
          <w:rFonts w:ascii="Palatino Linotype" w:hAnsi="Palatino Linotype"/>
          <w:b/>
          <w:bCs/>
        </w:rPr>
        <w:t>. 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 ва 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дадори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мурофиавии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>, намояндаг</w:t>
      </w:r>
      <w:r>
        <w:rPr>
          <w:rFonts w:ascii="Palatino Linotype" w:hAnsi="Palatino Linotype"/>
          <w:b/>
          <w:bCs/>
        </w:rPr>
        <w:t>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баробари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рвандон ва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аз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5A296A">
        <w:rPr>
          <w:rFonts w:ascii="Palatino Linotype" w:hAnsi="Palatino Linotype"/>
        </w:rPr>
        <w:t>ои мурофиав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истифода мебарад ва 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мурофиавиро ба зимма дорад,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умла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пешбурди парвандаро дар суд ба воситаи намоянда ба 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монад.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бояд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кунанда ифода ёбанд ва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онунгузории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, бо </w:t>
      </w:r>
      <w:proofErr w:type="gramStart"/>
      <w:r w:rsidRPr="005A296A">
        <w:rPr>
          <w:rFonts w:ascii="Palatino Linotype" w:hAnsi="Palatino Linotype"/>
        </w:rPr>
        <w:t>назардошти  талаботи</w:t>
      </w:r>
      <w:proofErr w:type="gramEnd"/>
      <w:r w:rsidRPr="005A296A">
        <w:rPr>
          <w:rFonts w:ascii="Palatino Linotype" w:hAnsi="Palatino Linotype"/>
        </w:rPr>
        <w:t xml:space="preserve"> пешбининамудаи моддаи 398 Кодекси мазкур, ба расмият дароварда шаванд.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аз номи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ие, ки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вакил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мекунад,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ама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мурофиавиро 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ом 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ад, ба истиснои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4 моддаи мазкур пешбинишуда, агар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кунанда тартиби дигаре пешбин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нашуда бошад.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кунанда бояд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5A296A">
        <w:rPr>
          <w:rFonts w:ascii="Palatino Linotype" w:hAnsi="Palatino Linotype"/>
        </w:rPr>
        <w:t>ои зерин махсус зикр гарданд: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1) имзо намудани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авоби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2) эътироф намудани даъво;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3) даст кашидан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масуният нисбат ба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таъминотии даъво, масуният нисбат ба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4)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намудани даъвои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 даъво,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 додани асос ё мавзуи даъвои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 даъво;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5) бастани созиши ошт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6) ба шахси дигар вогузоштани ваколати намояндагии худ;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7) гирифтани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(аз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умла нусхаи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);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8) шикоят овардан ба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9) имзо ва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намудани ариза дар бораи аз нав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намудани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нав ошкоршуда;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</w:rPr>
        <w:t>10) гирифтани 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 ва дигар молу мулки ба фоидаи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гузаронидашуда</w:t>
      </w:r>
      <w:r w:rsidRPr="005A296A">
        <w:rPr>
          <w:rFonts w:ascii="Palatino Linotype" w:hAnsi="Palatino Linotype"/>
          <w:b/>
          <w:bCs/>
        </w:rPr>
        <w:t>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4</w:t>
      </w:r>
      <w:r w:rsidRPr="005A296A">
        <w:rPr>
          <w:rFonts w:ascii="Palatino Linotype" w:hAnsi="Palatino Linotype"/>
          <w:b/>
          <w:bCs/>
        </w:rPr>
        <w:t>. Пешни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од намудани аризаи даъвог</w:t>
      </w:r>
      <w:r>
        <w:rPr>
          <w:rFonts w:ascii="Palatino Linotype" w:hAnsi="Palatino Linotype"/>
          <w:b/>
          <w:bCs/>
        </w:rPr>
        <w:t>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 бо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 он замимагардида бояд ба талаботи модда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134 ва 135 Кодекси мазкур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ат намоянд ва бо нусхаи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 он замимагардида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шумораи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авобгарон ва шахсони сеюм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карда 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Ба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инчунин тар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умаи ба таври дахлдор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гардида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 он замимагардида ба забони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яке аз забон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расмии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ии дар парванда иштироккунанда замима карда мешаванд.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5</w:t>
      </w:r>
      <w:r w:rsidRPr="005A296A">
        <w:rPr>
          <w:rFonts w:ascii="Palatino Linotype" w:hAnsi="Palatino Linotype"/>
          <w:b/>
          <w:bCs/>
        </w:rPr>
        <w:t>. Хусусият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андешидани тадбир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оид ба таъмини даъво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оид ба таъмини даъво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аризаи шахсони иштироккунандаи парванда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аррарнамудаи боби 13 Кодекси мазкур андешида мешаванд, ба истиснои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агар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он аз масуният нисбат ба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оид ба таъмини даъво барх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рдор аст ва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ин масуният даст накашидааст.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ое, ки суд оид ба таъмини даъво андешидааст, мумкин аст бекор карда шаванд, агар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араёни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судии парванда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 карда шавад,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он аз масуният нисбат ба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оид ба таъмини даъво ё масуният нисбат ба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 барх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рдор аст ва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ин масуният даст накашидааст.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 xml:space="preserve"> </w:t>
      </w: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6</w:t>
      </w:r>
      <w:r w:rsidRPr="005A296A">
        <w:rPr>
          <w:rFonts w:ascii="Palatino Linotype" w:hAnsi="Palatino Linotype"/>
          <w:b/>
          <w:bCs/>
        </w:rPr>
        <w:t>. Фиристодан ва супоридани хабарнома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дигар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5A296A">
        <w:rPr>
          <w:rFonts w:ascii="Palatino Linotype" w:hAnsi="Palatino Linotype"/>
          <w:b/>
          <w:bCs/>
        </w:rPr>
        <w:t>ат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ба давлати хори</w:t>
      </w:r>
      <w:r>
        <w:rPr>
          <w:rFonts w:ascii="Palatino Linotype" w:hAnsi="Palatino Linotype"/>
          <w:b/>
          <w:bCs/>
        </w:rPr>
        <w:t>ҷӣ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Фиристодани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бораи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оз намудани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солоти парванда дар суди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ва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тавассути ро</w:t>
      </w:r>
      <w:r>
        <w:rPr>
          <w:rFonts w:ascii="Palatino Linotype" w:hAnsi="Palatino Linotype"/>
        </w:rPr>
        <w:t>ҳҳ</w:t>
      </w:r>
      <w:r w:rsidRPr="005A296A">
        <w:rPr>
          <w:rFonts w:ascii="Palatino Linotype" w:hAnsi="Palatino Linotype"/>
        </w:rPr>
        <w:t>ои дипломат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 Санаи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мазкур санаи гирифтани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идораи амаликунандаи сиёсати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ии давлати дахлдори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исобида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Супориши суди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оид ба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ом додани дигар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мурофиав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тартиби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ва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байналмилалии эътирофнамудаи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ки тартиби расондани ёрии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иро танзим мекунанд, ба расмият дароварда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ки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супорида мешавад, дар ду нусха тартиб дода шуда,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ва бо тар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умаи ба таври дахлдор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шуда ба забони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яке аз забон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расмии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дар парванда иштироккунанда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карда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Хабарномаи судии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 ва 2 моддаи мазкур зикр­гардидаро суд метавонад бевосита бо забонхат ба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супорад, агар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дар парванда иштирок намояд ва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арраргардида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дахлдор дошта бошад.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ие, ки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иятан дар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окимаи судии парвандаи бар зидди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озшуда иштирок кардааст, наметавонад ба он такя кунад, ки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дар бораи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бар хилофи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аррароти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 ва 2 моддаи мазкур сурат гирифтааст.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6.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бораи таъин намудани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дар бораи таъин намудани парванда ба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мазкур на дертар аз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зи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фиристода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7</w:t>
      </w:r>
      <w:r w:rsidRPr="005A296A">
        <w:rPr>
          <w:rFonts w:ascii="Palatino Linotype" w:hAnsi="Palatino Linotype"/>
          <w:b/>
          <w:bCs/>
        </w:rPr>
        <w:t>. Хусусияти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пешакии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атъ кардани исте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солоти парванда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ки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моддаи 155 Кодекси мазкур гузаронида мешавад, суд бо иштироки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амчунин, масъалаи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 будани масунияти судии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иро нисбат ба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си баррасишаванда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 мекунад.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Дар сурати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озир нашудани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ки дар бораи сана, ва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 ва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баргузории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таври дахлдор ого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онида шудааст, суд дар асоси маводи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удбуда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мекунад.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Агар маводи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удбуда ба суд барои баровардани хулоса 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 будани масунияти судии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си баррасишаванда имкон нади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ад, ин масъала бояд дар рафти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 карда 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суд ва хулоса дар бораи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 будани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бояд дар санади судие, ки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баррасии парванда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шудааст, дар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Дар сурате, агар суд 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ангоми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 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хулоса ояд,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дорад, суд пешбурди парвандаро нисбат ба 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атъ менамояд.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8</w:t>
      </w:r>
      <w:r w:rsidRPr="005A296A">
        <w:rPr>
          <w:rFonts w:ascii="Palatino Linotype" w:hAnsi="Palatino Linotype"/>
          <w:b/>
          <w:bCs/>
        </w:rPr>
        <w:t>. Хулосаи ма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омоти давлат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, ташкилот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дигар ва коршиносон оид ба масъала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татби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и масунияти юрисдиксион</w:t>
      </w:r>
      <w:r>
        <w:rPr>
          <w:rFonts w:ascii="Palatino Linotype" w:hAnsi="Palatino Linotype"/>
          <w:b/>
          <w:bCs/>
        </w:rPr>
        <w:t>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Вазорати кор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бо ташаб­буси суд ё бо ташаббуси худ вобаста ба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хулоса меди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оид ба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ташкилот,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шахси мансабдоре, ки дар баррасии парванда ба сифати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алб карда мешаванд;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удияти амалигардонии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муста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или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окимият дар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;  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удияти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оид ба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ми масунияти юрисдиксионие, ки дар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карда мешавад;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дигар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ба ваколати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омоти давлатии зикргардида дохил мешаванд.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>2. Суд метавонад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арраргардида,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амчунин, ба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 ва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ва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 кишвар барои мусоидат ва тавзе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от оид ба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мавзуи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 мебошанд, муро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иат кунад ё коршиносонро (мутахассисонро)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алб намояд.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Хулоса ва тавзе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оти гирифташуда бояд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бо назардошти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и далел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удбуда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дода шаванд.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9</w:t>
      </w:r>
      <w:r w:rsidRPr="005A296A">
        <w:rPr>
          <w:rFonts w:ascii="Palatino Linotype" w:hAnsi="Palatino Linotype"/>
          <w:b/>
          <w:bCs/>
        </w:rPr>
        <w:t>. Татби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и принсипи мута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обила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ангоми баррасии парванда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суди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бо ташаббуси худ ё бо дархости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метавонад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обиларо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намояд.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Таносуби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ми масунияти юрисдиксионие,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намудааст,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дар асоси далел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однамудаи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ва хулосаи Вазорати кор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муайян карда мешавад.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Агар исбот шавад, ки дар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ие, ки нисбат ба он масъалаи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миён омадааст,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нисбат ба андозаи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дуде, ки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гардидааст, дода шудааст, он 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суд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ангоми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ин масъала дар асоси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обила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аз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амон андозаи масунияти юрисдиксионие, ки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дар давлати дахлдори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дорад, барояд.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Хулосаи асосноки суд дар бораи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обила ва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он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 кардани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ангоми баррасии парвандаи мушаххас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суд, ки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ин парванда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шудааст, нишон дода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10</w:t>
      </w:r>
      <w:r w:rsidRPr="005A296A">
        <w:rPr>
          <w:rFonts w:ascii="Palatino Linotype" w:hAnsi="Palatino Linotype"/>
          <w:b/>
          <w:bCs/>
        </w:rPr>
        <w:t xml:space="preserve">.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алномаи 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оибона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Суд метавонад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22 Кодекси мазкур пас аз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 намудани шарт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ки дар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окимаи суди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иштирок накардааст,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оибона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намояд: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1) риояи талаботи моддаи 397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2)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оид ба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ози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парванда нисбат ба он на камтар аз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гузашта бошад;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3)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истифода намебарад;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4)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бораи ба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лати 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илона ба таъхир гузоштани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дархост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накарда бошад ё дархости мазкур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асоснок рад карда шуда бошад.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аи баррасии парванда дар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ие, ки дар парванда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авобгар мебошад, бо назардошти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амаи шарт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мазкур, суд метавонад дар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мазкур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оибона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намояд.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Нусхаи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 на дертар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 пас аз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абули он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397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фиристода 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давоми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ба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397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супоридани нусхаи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2 моддаи мазкур зикргардидаи суд,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бо тартиби пешбининамудаи Кодекси мазкур аз болои он шикоят намояд.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5. Аз болои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оибонаи суд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о, инчунин, метавонанд дар давоми як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 баъди ба охир расидани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лати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ониби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авобгар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намудани ариза оид ба бекор кардани ин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 ва дар сурате, ки агар чунин ариза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шуда бошад, дар давоми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баровардани таъиноти суд дар бораи рад кардани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онеъ гардондани ин ариза, бо тартиби кассатсион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шикоят намоянд.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11</w:t>
      </w:r>
      <w:r w:rsidRPr="005A296A">
        <w:rPr>
          <w:rFonts w:ascii="Palatino Linotype" w:hAnsi="Palatino Linotype"/>
          <w:b/>
          <w:bCs/>
        </w:rPr>
        <w:t>. Имтиёз ва масуният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 xml:space="preserve"> дар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араёни му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окимаи суд</w:t>
      </w:r>
      <w:r>
        <w:rPr>
          <w:rFonts w:ascii="Palatino Linotype" w:hAnsi="Palatino Linotype"/>
          <w:b/>
          <w:bCs/>
        </w:rPr>
        <w:t>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араёни баррасии парванда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ба ин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таъин карда намешавад ва аз ин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бораи пешпардохти харо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вобаста ба баррасии парванда талаб карда намешавад.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аррароти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мазкур ба суд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ати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ёнидани харо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аррарнамудаи   боби 7 Кодекси мазкур,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ангоми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аи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иятан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намудани парванда, монеъ намегардад.</w:t>
      </w:r>
    </w:p>
    <w:p w:rsidR="000C5162" w:rsidRPr="005A296A" w:rsidRDefault="000C5162" w:rsidP="000C5162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397</w:t>
      </w:r>
      <w:r w:rsidRPr="005A296A">
        <w:rPr>
          <w:rFonts w:ascii="Palatino Linotype" w:hAnsi="Palatino Linotype"/>
          <w:b/>
          <w:bCs/>
          <w:vertAlign w:val="superscript"/>
        </w:rPr>
        <w:t>12</w:t>
      </w:r>
      <w:r w:rsidRPr="005A296A">
        <w:rPr>
          <w:rFonts w:ascii="Palatino Linotype" w:hAnsi="Palatino Linotype"/>
          <w:b/>
          <w:bCs/>
        </w:rPr>
        <w:t>. Тартиби и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ро намудани санад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нисбат ба давлати хори</w:t>
      </w:r>
      <w:r>
        <w:rPr>
          <w:rFonts w:ascii="Palatino Linotype" w:hAnsi="Palatino Linotype"/>
          <w:b/>
          <w:bCs/>
        </w:rPr>
        <w:t>ҷӣ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>1.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 намудани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ки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арордоштаи 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гардидаанд, дар асоси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аи баррасии даъво ё аризаи дахлдор оид ба эътироф ва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арбитражи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дар бораи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Суд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397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иро дар бораи эътибори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пайдо кардани санади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додани вара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 ого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мекунад.».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 </w:t>
      </w: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 дода шавад. </w:t>
      </w: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</w:rPr>
      </w:pP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0C5162" w:rsidRPr="005A296A" w:rsidRDefault="000C5162" w:rsidP="000C5162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№2090</w:t>
      </w: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C5162" w:rsidRPr="005A296A" w:rsidRDefault="000C5162" w:rsidP="000C5162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0C5162" w:rsidRPr="005A296A" w:rsidRDefault="000C5162" w:rsidP="000C5162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Кодекси мурофиавии мадании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C5162" w:rsidRPr="005A296A" w:rsidRDefault="000C5162" w:rsidP="000C5162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Кодекси мурофиавии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№534</w:t>
      </w: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0C5162" w:rsidRPr="005A296A" w:rsidRDefault="000C5162" w:rsidP="000C5162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C5162" w:rsidRPr="005A296A" w:rsidRDefault="000C5162" w:rsidP="000C516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C5162" w:rsidRPr="005A296A" w:rsidRDefault="000C5162" w:rsidP="000C5162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Кодекси мурофиавии мадании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ворид </w:t>
      </w:r>
      <w:proofErr w:type="gramStart"/>
      <w:r w:rsidRPr="005A296A">
        <w:rPr>
          <w:rFonts w:ascii="Palatino Linotype" w:hAnsi="Palatino Linotype"/>
        </w:rPr>
        <w:t>намудани 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</w:t>
      </w:r>
      <w:proofErr w:type="gramEnd"/>
      <w:r w:rsidRPr="005A296A">
        <w:rPr>
          <w:rFonts w:ascii="Palatino Linotype" w:hAnsi="Palatino Linotype"/>
        </w:rPr>
        <w:t xml:space="preserve">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Кодекси мурофиавии мадании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0C5162" w:rsidRPr="005A296A" w:rsidRDefault="000C5162" w:rsidP="000C5162">
      <w:pPr>
        <w:pStyle w:val="a3"/>
        <w:rPr>
          <w:rFonts w:ascii="Palatino Linotype" w:hAnsi="Palatino Linotype"/>
        </w:rPr>
      </w:pPr>
    </w:p>
    <w:p w:rsidR="000C5162" w:rsidRPr="005A296A" w:rsidRDefault="000C5162" w:rsidP="000C5162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0C5162" w:rsidRDefault="000C5162" w:rsidP="000C5162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0C5162" w:rsidP="000C5162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 октябри соли 2024, №1406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62"/>
    <w:rsid w:val="000C5162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09FF"/>
  <w15:chartTrackingRefBased/>
  <w15:docId w15:val="{743D5BAF-D980-452A-B807-71CD1CD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C516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C5162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C5162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6">
    <w:name w:val="[Без стиля]"/>
    <w:rsid w:val="000C5162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7">
    <w:name w:val="Hyperlink"/>
    <w:basedOn w:val="a0"/>
    <w:uiPriority w:val="99"/>
    <w:rsid w:val="000C5162"/>
    <w:rPr>
      <w:color w:val="0000FF"/>
      <w:w w:val="100"/>
      <w:u w:val="thick" w:color="0000FF"/>
    </w:rPr>
  </w:style>
  <w:style w:type="character" w:styleId="a8">
    <w:name w:val="Strong"/>
    <w:basedOn w:val="a0"/>
    <w:uiPriority w:val="99"/>
    <w:qFormat/>
    <w:rsid w:val="000C5162"/>
    <w:rPr>
      <w:b/>
      <w:bCs/>
      <w:color w:val="000000"/>
      <w:w w:val="100"/>
    </w:rPr>
  </w:style>
  <w:style w:type="character" w:customStyle="1" w:styleId="s1">
    <w:name w:val="s1"/>
    <w:uiPriority w:val="99"/>
    <w:rsid w:val="000C5162"/>
    <w:rPr>
      <w:rFonts w:ascii="Times New Roman" w:hAnsi="Times New Roman" w:cs="Times New Roman"/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2513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2024-11-18T09:42:00Z</dcterms:created>
  <dcterms:modified xsi:type="dcterms:W3CDTF">2024-11-18T09:42:00Z</dcterms:modified>
</cp:coreProperties>
</file>