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6A" w:rsidRDefault="00DA186A" w:rsidP="00DA186A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DA186A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DA186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DA186A" w:rsidRPr="00DA186A" w:rsidRDefault="00DA186A" w:rsidP="00DA186A">
      <w:pPr>
        <w:pStyle w:val="20"/>
        <w:rPr>
          <w:rFonts w:ascii="Palatino Linotype" w:hAnsi="Palatino Linotype"/>
          <w:caps w:val="0"/>
          <w:sz w:val="28"/>
          <w:szCs w:val="28"/>
        </w:rPr>
      </w:pPr>
    </w:p>
    <w:p w:rsidR="00DA186A" w:rsidRPr="00DA186A" w:rsidRDefault="00DA186A" w:rsidP="00DA186A">
      <w:pPr>
        <w:pStyle w:val="a3"/>
        <w:rPr>
          <w:rFonts w:ascii="Palatino Linotype" w:hAnsi="Palatino Linotype"/>
          <w:sz w:val="28"/>
          <w:szCs w:val="28"/>
        </w:rPr>
      </w:pPr>
      <w:r w:rsidRPr="00DA186A">
        <w:rPr>
          <w:rFonts w:ascii="Palatino Linotype" w:hAnsi="Palatino Linotype"/>
          <w:sz w:val="28"/>
          <w:szCs w:val="28"/>
        </w:rPr>
        <w:t>ОИД БА ВОРИД НАМУДАНИ  ИЛОВА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ИКИСТОН  «ДАР БОРАИ ФОНД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Ғ</w:t>
      </w:r>
      <w:r w:rsidRPr="00DA186A">
        <w:rPr>
          <w:rFonts w:ascii="Palatino Linotype" w:hAnsi="Palatino Linotype"/>
          <w:sz w:val="28"/>
          <w:szCs w:val="28"/>
        </w:rPr>
        <w:t>АЙРИДАВЛАТИИ НАФА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>А»</w:t>
      </w:r>
    </w:p>
    <w:p w:rsidR="00AC300A" w:rsidRPr="00DA186A" w:rsidRDefault="00AC300A">
      <w:pPr>
        <w:rPr>
          <w:rFonts w:ascii="Palatino Linotype" w:hAnsi="Palatino Linotype"/>
          <w:sz w:val="28"/>
          <w:szCs w:val="28"/>
        </w:rPr>
      </w:pPr>
    </w:p>
    <w:p w:rsidR="00DA186A" w:rsidRPr="00DA186A" w:rsidRDefault="00DA186A" w:rsidP="00DA186A">
      <w:pPr>
        <w:pStyle w:val="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DA186A">
        <w:rPr>
          <w:rFonts w:ascii="Palatino Linotype" w:hAnsi="Palatino Linotype"/>
          <w:caps w:val="0"/>
          <w:sz w:val="28"/>
          <w:szCs w:val="28"/>
        </w:rPr>
        <w:t xml:space="preserve">арори </w:t>
      </w:r>
    </w:p>
    <w:p w:rsidR="00DA186A" w:rsidRPr="00DA186A" w:rsidRDefault="00DA186A" w:rsidP="00DA186A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DA186A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DA186A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DA186A">
        <w:rPr>
          <w:rFonts w:ascii="Palatino Linotype" w:hAnsi="Palatino Linotype"/>
          <w:caps w:val="0"/>
          <w:sz w:val="28"/>
          <w:szCs w:val="28"/>
        </w:rPr>
        <w:t xml:space="preserve">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DA186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DA186A" w:rsidRDefault="00DA186A" w:rsidP="00DA186A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DA186A" w:rsidRPr="00DA186A" w:rsidRDefault="00DA186A" w:rsidP="00DA186A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DA186A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фонд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ои 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DA186A">
        <w:rPr>
          <w:rFonts w:ascii="Palatino Linotype" w:hAnsi="Palatino Linotype"/>
          <w:b/>
          <w:bCs/>
          <w:sz w:val="28"/>
          <w:szCs w:val="28"/>
        </w:rPr>
        <w:t>айридавлатии нафа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>а»</w:t>
      </w:r>
    </w:p>
    <w:p w:rsidR="00DA186A" w:rsidRPr="00DA186A" w:rsidRDefault="00DA186A" w:rsidP="00DA186A">
      <w:pPr>
        <w:pStyle w:val="a4"/>
        <w:rPr>
          <w:rFonts w:ascii="Palatino Linotype" w:hAnsi="Palatino Linotype"/>
          <w:sz w:val="28"/>
          <w:szCs w:val="28"/>
        </w:rPr>
      </w:pPr>
    </w:p>
    <w:p w:rsidR="00DA186A" w:rsidRPr="00DA186A" w:rsidRDefault="00DA186A" w:rsidP="00DA186A">
      <w:pPr>
        <w:pStyle w:val="a4"/>
        <w:rPr>
          <w:rFonts w:ascii="Palatino Linotype" w:hAnsi="Palatino Linotype"/>
          <w:sz w:val="28"/>
          <w:szCs w:val="28"/>
        </w:rPr>
      </w:pPr>
      <w:r w:rsidRPr="00DA186A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sz w:val="28"/>
          <w:szCs w:val="28"/>
        </w:rPr>
        <w:t>Олии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>:</w:t>
      </w:r>
    </w:p>
    <w:p w:rsidR="00DA186A" w:rsidRPr="00DA186A" w:rsidRDefault="00DA186A" w:rsidP="00DA186A">
      <w:pPr>
        <w:pStyle w:val="a4"/>
        <w:rPr>
          <w:rFonts w:ascii="Palatino Linotype" w:hAnsi="Palatino Linotype"/>
          <w:sz w:val="28"/>
          <w:szCs w:val="28"/>
        </w:rPr>
      </w:pPr>
      <w:r w:rsidRPr="00DA186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DA186A">
        <w:rPr>
          <w:rFonts w:ascii="Palatino Linotype" w:hAnsi="Palatino Linotype"/>
          <w:sz w:val="28"/>
          <w:szCs w:val="28"/>
        </w:rPr>
        <w:t>Оид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DA186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илова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DA186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фонд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ғ</w:t>
      </w:r>
      <w:r w:rsidRPr="00DA186A">
        <w:rPr>
          <w:rFonts w:ascii="Palatino Linotype" w:hAnsi="Palatino Linotype"/>
          <w:sz w:val="28"/>
          <w:szCs w:val="28"/>
        </w:rPr>
        <w:t>айридавлатии нафа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а» 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Pr="00DA186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DA186A">
        <w:rPr>
          <w:rFonts w:ascii="Palatino Linotype" w:hAnsi="Palatino Linotype"/>
          <w:sz w:val="28"/>
          <w:szCs w:val="28"/>
        </w:rPr>
        <w:t>.</w:t>
      </w:r>
    </w:p>
    <w:p w:rsidR="00DA186A" w:rsidRPr="00DA186A" w:rsidRDefault="00DA186A" w:rsidP="00DA186A">
      <w:pPr>
        <w:pStyle w:val="a4"/>
        <w:rPr>
          <w:rFonts w:ascii="Palatino Linotype" w:hAnsi="Palatino Linotype"/>
          <w:sz w:val="28"/>
          <w:szCs w:val="28"/>
        </w:rPr>
      </w:pPr>
    </w:p>
    <w:p w:rsidR="00DA186A" w:rsidRPr="00DA186A" w:rsidRDefault="00DA186A" w:rsidP="00DA186A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A186A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A186A" w:rsidRPr="00DA186A" w:rsidRDefault="00DA186A" w:rsidP="00DA186A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A186A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икистон               Ш.ЗУ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DA186A" w:rsidRPr="00DA186A" w:rsidRDefault="00DA186A" w:rsidP="00DA186A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>. Душанбе, 9 октябри соли 2014 №1606</w:t>
      </w:r>
    </w:p>
    <w:p w:rsidR="00DA186A" w:rsidRPr="00DA186A" w:rsidRDefault="00DA186A" w:rsidP="00DA186A">
      <w:pPr>
        <w:rPr>
          <w:rFonts w:ascii="Palatino Linotype" w:hAnsi="Palatino Linotype"/>
          <w:sz w:val="28"/>
          <w:szCs w:val="28"/>
        </w:rPr>
      </w:pPr>
    </w:p>
    <w:p w:rsidR="00DA186A" w:rsidRDefault="00DA186A" w:rsidP="00DA186A">
      <w:pPr>
        <w:pStyle w:val="20"/>
        <w:rPr>
          <w:rFonts w:ascii="Palatino Linotype" w:hAnsi="Palatino Linotype"/>
          <w:caps w:val="0"/>
          <w:sz w:val="28"/>
          <w:szCs w:val="28"/>
        </w:rPr>
      </w:pPr>
    </w:p>
    <w:p w:rsidR="00DA186A" w:rsidRDefault="00DA186A" w:rsidP="00DA186A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DA186A">
        <w:rPr>
          <w:rFonts w:ascii="Palatino Linotype" w:hAnsi="Palatino Linotype"/>
          <w:caps w:val="0"/>
          <w:sz w:val="28"/>
          <w:szCs w:val="28"/>
        </w:rPr>
        <w:t>арори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</w:p>
    <w:p w:rsidR="00DA186A" w:rsidRPr="00DA186A" w:rsidRDefault="00DA186A" w:rsidP="00DA186A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DA186A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DA186A">
        <w:rPr>
          <w:rFonts w:ascii="Palatino Linotype" w:hAnsi="Palatino Linotype"/>
          <w:caps w:val="0"/>
          <w:sz w:val="28"/>
          <w:szCs w:val="28"/>
        </w:rPr>
        <w:t xml:space="preserve">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DA186A">
        <w:rPr>
          <w:rFonts w:ascii="Palatino Linotype" w:hAnsi="Palatino Linotype"/>
          <w:caps w:val="0"/>
          <w:sz w:val="28"/>
          <w:szCs w:val="28"/>
        </w:rPr>
        <w:t xml:space="preserve">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DA186A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DA186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DA186A" w:rsidRDefault="00DA186A" w:rsidP="00DA186A">
      <w:pPr>
        <w:pStyle w:val="a4"/>
        <w:suppressAutoHyphens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DA186A" w:rsidRPr="00DA186A" w:rsidRDefault="00DA186A" w:rsidP="00DA186A">
      <w:pPr>
        <w:pStyle w:val="a4"/>
        <w:suppressAutoHyphens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DA186A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фонд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ои 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DA186A">
        <w:rPr>
          <w:rFonts w:ascii="Palatino Linotype" w:hAnsi="Palatino Linotype"/>
          <w:b/>
          <w:bCs/>
          <w:sz w:val="28"/>
          <w:szCs w:val="28"/>
        </w:rPr>
        <w:t>айридавлатии нафа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>а»</w:t>
      </w:r>
    </w:p>
    <w:p w:rsidR="00DA186A" w:rsidRPr="00DA186A" w:rsidRDefault="00DA186A" w:rsidP="00DA186A">
      <w:pPr>
        <w:pStyle w:val="a4"/>
        <w:rPr>
          <w:rFonts w:ascii="Palatino Linotype" w:hAnsi="Palatino Linotype"/>
          <w:sz w:val="28"/>
          <w:szCs w:val="28"/>
        </w:rPr>
      </w:pPr>
    </w:p>
    <w:p w:rsidR="00DA186A" w:rsidRPr="00DA186A" w:rsidRDefault="00DA186A" w:rsidP="00DA186A">
      <w:pPr>
        <w:pStyle w:val="a4"/>
        <w:rPr>
          <w:rFonts w:ascii="Palatino Linotype" w:hAnsi="Palatino Linotype"/>
          <w:sz w:val="28"/>
          <w:szCs w:val="28"/>
        </w:rPr>
      </w:pPr>
      <w:r w:rsidRPr="00DA186A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sz w:val="28"/>
          <w:szCs w:val="28"/>
        </w:rPr>
        <w:t>Олии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DA186A">
        <w:rPr>
          <w:rFonts w:ascii="Palatino Linotype" w:hAnsi="Palatino Linotype"/>
          <w:sz w:val="28"/>
          <w:szCs w:val="28"/>
        </w:rPr>
        <w:t>Оид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DA186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илова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DA186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фонд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ғ</w:t>
      </w:r>
      <w:r w:rsidRPr="00DA186A">
        <w:rPr>
          <w:rFonts w:ascii="Palatino Linotype" w:hAnsi="Palatino Linotype"/>
          <w:sz w:val="28"/>
          <w:szCs w:val="28"/>
        </w:rPr>
        <w:t>айридавлатии нафа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>а</w:t>
      </w:r>
      <w:proofErr w:type="gramStart"/>
      <w:r w:rsidRPr="00DA186A">
        <w:rPr>
          <w:rFonts w:ascii="Palatino Linotype" w:hAnsi="Palatino Linotype"/>
          <w:sz w:val="28"/>
          <w:szCs w:val="28"/>
        </w:rPr>
        <w:t>»-</w:t>
      </w:r>
      <w:proofErr w:type="gramEnd"/>
      <w:r w:rsidRPr="00DA186A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DA186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>:</w:t>
      </w:r>
      <w:r w:rsidRPr="00DA186A">
        <w:rPr>
          <w:rFonts w:ascii="Palatino Linotype" w:hAnsi="Palatino Linotype"/>
          <w:sz w:val="28"/>
          <w:szCs w:val="28"/>
        </w:rPr>
        <w:t xml:space="preserve"> </w:t>
      </w:r>
    </w:p>
    <w:p w:rsidR="00DA186A" w:rsidRPr="00DA186A" w:rsidRDefault="00DA186A" w:rsidP="00DA186A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DA186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DA186A">
        <w:rPr>
          <w:rFonts w:ascii="Palatino Linotype" w:hAnsi="Palatino Linotype"/>
          <w:sz w:val="28"/>
          <w:szCs w:val="28"/>
        </w:rPr>
        <w:t>Оид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DA186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илова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DA186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sz w:val="28"/>
          <w:szCs w:val="28"/>
        </w:rPr>
        <w:t xml:space="preserve"> фонд</w:t>
      </w:r>
      <w:r>
        <w:rPr>
          <w:rFonts w:ascii="Palatino Linotype" w:hAnsi="Palatino Linotype"/>
          <w:sz w:val="28"/>
          <w:szCs w:val="28"/>
        </w:rPr>
        <w:t>ҳ</w:t>
      </w:r>
      <w:r w:rsidRPr="00DA186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ғ</w:t>
      </w:r>
      <w:r w:rsidRPr="00DA186A">
        <w:rPr>
          <w:rFonts w:ascii="Palatino Linotype" w:hAnsi="Palatino Linotype"/>
          <w:sz w:val="28"/>
          <w:szCs w:val="28"/>
        </w:rPr>
        <w:t>айридавлатии нафа</w:t>
      </w:r>
      <w:r>
        <w:rPr>
          <w:rFonts w:ascii="Palatino Linotype" w:hAnsi="Palatino Linotype"/>
          <w:sz w:val="28"/>
          <w:szCs w:val="28"/>
        </w:rPr>
        <w:t>қ</w:t>
      </w:r>
      <w:r w:rsidRPr="00DA186A">
        <w:rPr>
          <w:rFonts w:ascii="Palatino Linotype" w:hAnsi="Palatino Linotype"/>
          <w:sz w:val="28"/>
          <w:szCs w:val="28"/>
        </w:rPr>
        <w:t xml:space="preserve">а» </w:t>
      </w:r>
      <w:r>
        <w:rPr>
          <w:rFonts w:ascii="Palatino Linotype" w:hAnsi="Palatino Linotype"/>
          <w:sz w:val="28"/>
          <w:szCs w:val="28"/>
        </w:rPr>
        <w:t>ҷ</w:t>
      </w:r>
      <w:r w:rsidRPr="00DA186A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DA186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DA186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DA186A">
        <w:rPr>
          <w:rFonts w:ascii="Palatino Linotype" w:hAnsi="Palatino Linotype"/>
          <w:sz w:val="28"/>
          <w:szCs w:val="28"/>
        </w:rPr>
        <w:t>.</w:t>
      </w:r>
    </w:p>
    <w:p w:rsidR="00DA186A" w:rsidRPr="00DA186A" w:rsidRDefault="00DA186A" w:rsidP="00DA186A">
      <w:pPr>
        <w:pStyle w:val="a4"/>
        <w:rPr>
          <w:rFonts w:ascii="Palatino Linotype" w:hAnsi="Palatino Linotype"/>
          <w:sz w:val="28"/>
          <w:szCs w:val="28"/>
        </w:rPr>
      </w:pPr>
    </w:p>
    <w:p w:rsidR="00DA186A" w:rsidRPr="00DA186A" w:rsidRDefault="00DA186A" w:rsidP="00DA186A">
      <w:pPr>
        <w:pStyle w:val="a4"/>
        <w:ind w:firstLine="113"/>
        <w:rPr>
          <w:rFonts w:ascii="Palatino Linotype" w:hAnsi="Palatino Linotype"/>
          <w:b/>
          <w:bCs/>
          <w:sz w:val="28"/>
          <w:szCs w:val="28"/>
        </w:rPr>
      </w:pPr>
      <w:r w:rsidRPr="00DA186A">
        <w:rPr>
          <w:rFonts w:ascii="Palatino Linotype" w:hAnsi="Palatino Linotype"/>
          <w:b/>
          <w:bCs/>
          <w:sz w:val="28"/>
          <w:szCs w:val="28"/>
        </w:rPr>
        <w:t xml:space="preserve">          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DA186A" w:rsidRPr="00DA186A" w:rsidRDefault="00DA186A" w:rsidP="00DA186A">
      <w:pPr>
        <w:pStyle w:val="a4"/>
        <w:ind w:firstLine="113"/>
        <w:rPr>
          <w:rFonts w:ascii="Palatino Linotype" w:hAnsi="Palatino Linotype"/>
          <w:b/>
          <w:bCs/>
          <w:sz w:val="28"/>
          <w:szCs w:val="28"/>
        </w:rPr>
      </w:pPr>
      <w:r w:rsidRPr="00DA186A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 xml:space="preserve">лиси  </w:t>
      </w: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z w:val="28"/>
          <w:szCs w:val="28"/>
        </w:rPr>
        <w:t>икистон     М. УБАЙДУЛЛОЕВ</w:t>
      </w:r>
    </w:p>
    <w:p w:rsidR="00DA186A" w:rsidRPr="00DA186A" w:rsidRDefault="00DA186A" w:rsidP="00DA186A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A186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DA186A">
        <w:rPr>
          <w:rFonts w:ascii="Palatino Linotype" w:hAnsi="Palatino Linotype"/>
          <w:b/>
          <w:bCs/>
          <w:sz w:val="28"/>
          <w:szCs w:val="28"/>
        </w:rPr>
        <w:t>. Душанбе, 20 ноябри соли 2014 №753</w:t>
      </w:r>
    </w:p>
    <w:p w:rsidR="00DA186A" w:rsidRPr="00DA186A" w:rsidRDefault="00DA186A" w:rsidP="00DA186A">
      <w:pPr>
        <w:rPr>
          <w:rFonts w:ascii="Palatino Linotype" w:hAnsi="Palatino Linotype"/>
          <w:sz w:val="28"/>
          <w:szCs w:val="28"/>
        </w:rPr>
      </w:pPr>
    </w:p>
    <w:p w:rsidR="00DA186A" w:rsidRPr="00DA186A" w:rsidRDefault="00DA186A" w:rsidP="00DA186A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 xml:space="preserve"> 1.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 Ба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spacing w:val="4"/>
          <w:sz w:val="28"/>
          <w:szCs w:val="28"/>
        </w:rPr>
        <w:t>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икистон аз 28 декабри соли 2005 «Дар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фонд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ои </w:t>
      </w:r>
      <w:r>
        <w:rPr>
          <w:rFonts w:ascii="Palatino Linotype" w:hAnsi="Palatino Linotype"/>
          <w:spacing w:val="4"/>
          <w:sz w:val="28"/>
          <w:szCs w:val="28"/>
        </w:rPr>
        <w:t>ғ</w:t>
      </w:r>
      <w:r w:rsidRPr="00DA186A">
        <w:rPr>
          <w:rFonts w:ascii="Palatino Linotype" w:hAnsi="Palatino Linotype"/>
          <w:spacing w:val="4"/>
          <w:sz w:val="28"/>
          <w:szCs w:val="28"/>
        </w:rPr>
        <w:t>айридавлатии нафа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>а» (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Ахбори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Ма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лиси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Олии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>урии То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>икистон, с. 2005, №12, мод.661;  с. 2011, №6, мод.448) илова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зерин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ворид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:</w:t>
      </w:r>
    </w:p>
    <w:p w:rsidR="00DA186A" w:rsidRPr="00DA186A" w:rsidRDefault="00DA186A" w:rsidP="00DA186A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DA186A">
        <w:rPr>
          <w:rFonts w:ascii="Palatino Linotype" w:hAnsi="Palatino Linotype"/>
          <w:spacing w:val="4"/>
          <w:sz w:val="28"/>
          <w:szCs w:val="28"/>
        </w:rPr>
        <w:t xml:space="preserve">1. Ба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исми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якуми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11 сархат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сеюм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чорум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мазмуни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:</w:t>
      </w:r>
    </w:p>
    <w:p w:rsidR="00DA186A" w:rsidRPr="00DA186A" w:rsidRDefault="00DA186A" w:rsidP="00DA186A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DA186A">
        <w:rPr>
          <w:rFonts w:ascii="Palatino Linotype" w:hAnsi="Palatino Linotype"/>
          <w:spacing w:val="4"/>
          <w:sz w:val="28"/>
          <w:szCs w:val="28"/>
        </w:rPr>
        <w:t>«- тиб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>и му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аррароти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spacing w:val="4"/>
          <w:sz w:val="28"/>
          <w:szCs w:val="28"/>
        </w:rPr>
        <w:t>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икистон «Дар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му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овимат ба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>онунигардонии (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расмикунонии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) даромад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ро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иноят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бадастоварда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мабла</w:t>
      </w:r>
      <w:r>
        <w:rPr>
          <w:rFonts w:ascii="Palatino Linotype" w:hAnsi="Palatino Linotype"/>
          <w:spacing w:val="4"/>
          <w:sz w:val="28"/>
          <w:szCs w:val="28"/>
        </w:rPr>
        <w:t>ғ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гузории терроризм»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оид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ба 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>д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амалиёти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шуб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>анок ба ма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оми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ваколатдори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му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овимат ба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>онунигардонии (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расмикунонии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) даромад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ро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иноят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бадастоварда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мабла</w:t>
      </w:r>
      <w:r>
        <w:rPr>
          <w:rFonts w:ascii="Palatino Linotype" w:hAnsi="Palatino Linotype"/>
          <w:spacing w:val="4"/>
          <w:sz w:val="28"/>
          <w:szCs w:val="28"/>
        </w:rPr>
        <w:t>ғ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гузории терроризм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маълумот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пешни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од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намояд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;</w:t>
      </w:r>
    </w:p>
    <w:p w:rsidR="00DA186A" w:rsidRPr="00DA186A" w:rsidRDefault="00DA186A" w:rsidP="00DA186A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DA186A">
        <w:rPr>
          <w:rFonts w:ascii="Palatino Linotype" w:hAnsi="Palatino Linotype"/>
          <w:spacing w:val="4"/>
          <w:sz w:val="28"/>
          <w:szCs w:val="28"/>
        </w:rPr>
        <w:t>- ниго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дории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нусхаи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>у</w:t>
      </w:r>
      <w:r>
        <w:rPr>
          <w:rFonts w:ascii="Palatino Linotype" w:hAnsi="Palatino Linotype"/>
          <w:spacing w:val="4"/>
          <w:sz w:val="28"/>
          <w:szCs w:val="28"/>
        </w:rPr>
        <w:t>ҷҷ</w:t>
      </w:r>
      <w:r w:rsidRPr="00DA186A">
        <w:rPr>
          <w:rFonts w:ascii="Palatino Linotype" w:hAnsi="Palatino Linotype"/>
          <w:spacing w:val="4"/>
          <w:sz w:val="28"/>
          <w:szCs w:val="28"/>
        </w:rPr>
        <w:t>ат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оеро,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ки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барои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муайян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кардани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шахсият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зарур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аст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, на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камтар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аз пан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 соли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баъди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ан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ом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ёфтани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муносибат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>ои кор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таъмин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намояд</w:t>
      </w:r>
      <w:proofErr w:type="spellEnd"/>
      <w:proofErr w:type="gramStart"/>
      <w:r w:rsidRPr="00DA186A">
        <w:rPr>
          <w:rFonts w:ascii="Palatino Linotype" w:hAnsi="Palatino Linotype"/>
          <w:spacing w:val="4"/>
          <w:sz w:val="28"/>
          <w:szCs w:val="28"/>
        </w:rPr>
        <w:t>;»</w:t>
      </w:r>
      <w:proofErr w:type="gramEnd"/>
      <w:r w:rsidRPr="00DA186A">
        <w:rPr>
          <w:rFonts w:ascii="Palatino Linotype" w:hAnsi="Palatino Linotype"/>
          <w:spacing w:val="4"/>
          <w:sz w:val="28"/>
          <w:szCs w:val="28"/>
        </w:rPr>
        <w:t>.</w:t>
      </w:r>
    </w:p>
    <w:p w:rsidR="00DA186A" w:rsidRPr="00DA186A" w:rsidRDefault="00DA186A" w:rsidP="00DA186A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DA186A">
        <w:rPr>
          <w:rFonts w:ascii="Palatino Linotype" w:hAnsi="Palatino Linotype"/>
          <w:spacing w:val="4"/>
          <w:sz w:val="28"/>
          <w:szCs w:val="28"/>
        </w:rPr>
        <w:t xml:space="preserve">2. Ба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13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исми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сеюм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мазмуни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:</w:t>
      </w:r>
    </w:p>
    <w:p w:rsidR="00DA186A" w:rsidRPr="00DA186A" w:rsidRDefault="00DA186A" w:rsidP="00DA186A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DA186A">
        <w:rPr>
          <w:rFonts w:ascii="Palatino Linotype" w:hAnsi="Palatino Linotype"/>
          <w:spacing w:val="4"/>
          <w:sz w:val="28"/>
          <w:szCs w:val="28"/>
        </w:rPr>
        <w:t xml:space="preserve"> «Пешни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од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намудани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маълумот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ба ма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оми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ваколатдори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му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овимат ба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>онунигардонии (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расмикунонии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) даромад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gramStart"/>
      <w:r w:rsidRPr="00DA186A">
        <w:rPr>
          <w:rFonts w:ascii="Palatino Linotype" w:hAnsi="Palatino Linotype"/>
          <w:spacing w:val="4"/>
          <w:sz w:val="28"/>
          <w:szCs w:val="28"/>
        </w:rPr>
        <w:t>ро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>и</w:t>
      </w:r>
      <w:proofErr w:type="gram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иноят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бадастоварда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мабла</w:t>
      </w:r>
      <w:r>
        <w:rPr>
          <w:rFonts w:ascii="Palatino Linotype" w:hAnsi="Palatino Linotype"/>
          <w:spacing w:val="4"/>
          <w:sz w:val="28"/>
          <w:szCs w:val="28"/>
        </w:rPr>
        <w:t>ғ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гузории терроризм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ифшои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сирри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хизмат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DA186A">
        <w:rPr>
          <w:rFonts w:ascii="Palatino Linotype" w:hAnsi="Palatino Linotype"/>
          <w:spacing w:val="4"/>
          <w:sz w:val="28"/>
          <w:szCs w:val="28"/>
        </w:rPr>
        <w:t>, ти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spacing w:val="4"/>
          <w:sz w:val="28"/>
          <w:szCs w:val="28"/>
        </w:rPr>
        <w:t>орат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ё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сирри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дигари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онун 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ифзшаванда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намебошад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.».</w:t>
      </w:r>
    </w:p>
    <w:p w:rsidR="00DA186A" w:rsidRPr="00DA186A" w:rsidRDefault="00DA186A" w:rsidP="00DA186A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 xml:space="preserve"> 2.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пас аз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интишори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расм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мавриди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амал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DA186A">
        <w:rPr>
          <w:rFonts w:ascii="Palatino Linotype" w:hAnsi="Palatino Linotype"/>
          <w:spacing w:val="4"/>
          <w:sz w:val="28"/>
          <w:szCs w:val="28"/>
        </w:rPr>
        <w:t xml:space="preserve">арор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DA186A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DA186A">
        <w:rPr>
          <w:rFonts w:ascii="Palatino Linotype" w:hAnsi="Palatino Linotype"/>
          <w:spacing w:val="4"/>
          <w:sz w:val="28"/>
          <w:szCs w:val="28"/>
        </w:rPr>
        <w:t>.</w:t>
      </w:r>
    </w:p>
    <w:p w:rsidR="00DA186A" w:rsidRPr="00DA186A" w:rsidRDefault="00DA186A" w:rsidP="00DA186A">
      <w:pPr>
        <w:pStyle w:val="a4"/>
        <w:rPr>
          <w:rFonts w:ascii="Palatino Linotype" w:hAnsi="Palatino Linotype"/>
          <w:spacing w:val="4"/>
          <w:sz w:val="28"/>
          <w:szCs w:val="28"/>
        </w:rPr>
      </w:pPr>
    </w:p>
    <w:p w:rsidR="00DA186A" w:rsidRPr="00DA186A" w:rsidRDefault="00DA186A" w:rsidP="00DA186A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 xml:space="preserve">       </w:t>
      </w:r>
      <w:proofErr w:type="spellStart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Президенти</w:t>
      </w:r>
      <w:proofErr w:type="spellEnd"/>
    </w:p>
    <w:p w:rsidR="00DA186A" w:rsidRPr="00DA186A" w:rsidRDefault="00DA186A" w:rsidP="00DA186A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урии</w:t>
      </w:r>
      <w:proofErr w:type="gramStart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 xml:space="preserve"> Т</w:t>
      </w:r>
      <w:proofErr w:type="gramEnd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икистон                          Эмомал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 xml:space="preserve"> РА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МОН</w:t>
      </w:r>
    </w:p>
    <w:p w:rsidR="00DA186A" w:rsidRPr="00DA186A" w:rsidRDefault="00DA186A" w:rsidP="00DA186A">
      <w:pPr>
        <w:pStyle w:val="a4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ш</w:t>
      </w:r>
      <w:proofErr w:type="spellEnd"/>
      <w:r w:rsidRPr="00DA186A">
        <w:rPr>
          <w:rFonts w:ascii="Palatino Linotype" w:hAnsi="Palatino Linotype"/>
          <w:b/>
          <w:bCs/>
          <w:spacing w:val="4"/>
          <w:sz w:val="28"/>
          <w:szCs w:val="28"/>
        </w:rPr>
        <w:t>. Душанбе, 27 ноябри соли 2014 №1162</w:t>
      </w:r>
    </w:p>
    <w:sectPr w:rsidR="00DA186A" w:rsidRPr="00DA186A" w:rsidSect="003A5AA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A186A"/>
    <w:rsid w:val="009014DF"/>
    <w:rsid w:val="00AC300A"/>
    <w:rsid w:val="00DA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A186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A186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A186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2015-01-06T04:40:00Z</dcterms:created>
  <dcterms:modified xsi:type="dcterms:W3CDTF">2015-01-06T04:41:00Z</dcterms:modified>
</cp:coreProperties>
</file>