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05" w:rsidRDefault="00221005" w:rsidP="00221005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икистон</w:t>
      </w:r>
    </w:p>
    <w:p w:rsidR="00221005" w:rsidRPr="00221005" w:rsidRDefault="00221005" w:rsidP="00221005">
      <w:pPr>
        <w:pStyle w:val="a4"/>
        <w:suppressAutoHyphens/>
        <w:jc w:val="center"/>
        <w:rPr>
          <w:rFonts w:ascii="Palatino Linotype" w:hAnsi="Palatino Linotype"/>
          <w:bCs w:val="0"/>
          <w:sz w:val="36"/>
          <w:szCs w:val="24"/>
        </w:rPr>
      </w:pPr>
      <w:bookmarkStart w:id="0" w:name="_GoBack"/>
      <w:r w:rsidRPr="00221005">
        <w:rPr>
          <w:rFonts w:ascii="Palatino Linotype" w:hAnsi="Palatino Linotype"/>
          <w:caps w:val="0"/>
          <w:sz w:val="144"/>
          <w:szCs w:val="66"/>
        </w:rPr>
        <w:t xml:space="preserve"> </w:t>
      </w:r>
      <w:r w:rsidRPr="00221005">
        <w:rPr>
          <w:rFonts w:ascii="Palatino Linotype" w:hAnsi="Palatino Linotype"/>
          <w:bCs w:val="0"/>
          <w:caps w:val="0"/>
          <w:sz w:val="36"/>
          <w:szCs w:val="24"/>
        </w:rPr>
        <w:t xml:space="preserve">Оид ба ворид намудани тағйироту илова </w:t>
      </w:r>
      <w:proofErr w:type="gramStart"/>
      <w:r w:rsidRPr="00221005">
        <w:rPr>
          <w:rFonts w:ascii="Palatino Linotype" w:hAnsi="Palatino Linotype"/>
          <w:bCs w:val="0"/>
          <w:caps w:val="0"/>
          <w:sz w:val="36"/>
          <w:szCs w:val="24"/>
        </w:rPr>
        <w:t>ба  Қонуни</w:t>
      </w:r>
      <w:proofErr w:type="gramEnd"/>
      <w:r w:rsidRPr="00221005">
        <w:rPr>
          <w:rFonts w:ascii="Palatino Linotype" w:hAnsi="Palatino Linotype"/>
          <w:bCs w:val="0"/>
          <w:caps w:val="0"/>
          <w:sz w:val="36"/>
          <w:szCs w:val="24"/>
        </w:rPr>
        <w:t xml:space="preserve">  Ҷумҳурии  Тоҷикистон </w:t>
      </w:r>
      <w:r w:rsidRPr="00221005">
        <w:rPr>
          <w:rFonts w:ascii="Palatino Linotype" w:hAnsi="Palatino Linotype"/>
          <w:bCs w:val="0"/>
          <w:sz w:val="36"/>
          <w:szCs w:val="24"/>
        </w:rPr>
        <w:t>«</w:t>
      </w:r>
      <w:r w:rsidRPr="00221005">
        <w:rPr>
          <w:rFonts w:ascii="Palatino Linotype" w:hAnsi="Palatino Linotype"/>
          <w:bCs w:val="0"/>
          <w:caps w:val="0"/>
          <w:sz w:val="36"/>
          <w:szCs w:val="24"/>
        </w:rPr>
        <w:t>Дар бораи фаъолияти обуҳавошиносӣ»</w:t>
      </w:r>
      <w:r w:rsidRPr="00221005">
        <w:rPr>
          <w:rFonts w:ascii="Palatino Linotype" w:hAnsi="Palatino Linotype"/>
          <w:bCs w:val="0"/>
          <w:caps w:val="0"/>
          <w:sz w:val="72"/>
        </w:rPr>
        <w:t xml:space="preserve"> </w:t>
      </w:r>
    </w:p>
    <w:bookmarkEnd w:id="0"/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b/>
          <w:bCs/>
          <w:spacing w:val="-2"/>
        </w:rPr>
        <w:t>Моддаи 1.</w:t>
      </w:r>
      <w:r w:rsidRPr="005A296A">
        <w:rPr>
          <w:rFonts w:ascii="Palatino Linotype" w:hAnsi="Palatino Linotype"/>
          <w:spacing w:val="-2"/>
        </w:rPr>
        <w:t xml:space="preserve"> Ба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онуни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икистон «Дар бораи фаъолияти обу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авошинос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аз 2 декабри соли 2002 (Ахбори Ма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лиси Олии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икистон, с. 2002, №11, мод. 741; с. 2006, №3, мод. 167; с. 2007, №6, мод. 441; с. 2011, №12, мод. 850; с. 2014, №7,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. 2, мод. 418; с. 2016, №7, мод. 623) та</w:t>
      </w:r>
      <w:r>
        <w:rPr>
          <w:rFonts w:ascii="Palatino Linotype" w:hAnsi="Palatino Linotype"/>
          <w:spacing w:val="-2"/>
        </w:rPr>
        <w:t>ғ</w:t>
      </w:r>
      <w:r w:rsidRPr="005A296A">
        <w:rPr>
          <w:rFonts w:ascii="Palatino Linotype" w:hAnsi="Palatino Linotype"/>
          <w:spacing w:val="-2"/>
        </w:rPr>
        <w:t>йироту иловаи зерин ворид карда шаванд: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 xml:space="preserve">1. Дар тамоми матни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онун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 xml:space="preserve">ои «шахсони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ию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proofErr w:type="gramStart"/>
      <w:r w:rsidRPr="005A296A">
        <w:rPr>
          <w:rFonts w:ascii="Palatino Linotype" w:hAnsi="Palatino Linotype"/>
          <w:spacing w:val="-2"/>
        </w:rPr>
        <w:t>»,  «</w:t>
      </w:r>
      <w:proofErr w:type="gramEnd"/>
      <w:r w:rsidRPr="005A296A">
        <w:rPr>
          <w:rFonts w:ascii="Palatino Linotype" w:hAnsi="Palatino Linotype"/>
          <w:spacing w:val="-2"/>
        </w:rPr>
        <w:t xml:space="preserve">шахсони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5A296A">
        <w:rPr>
          <w:rFonts w:ascii="Palatino Linotype" w:hAnsi="Palatino Linotype"/>
          <w:spacing w:val="-2"/>
        </w:rPr>
        <w:t xml:space="preserve"> ва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», «шахсони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5A296A">
        <w:rPr>
          <w:rFonts w:ascii="Palatino Linotype" w:hAnsi="Palatino Linotype"/>
          <w:spacing w:val="-2"/>
        </w:rPr>
        <w:t xml:space="preserve"> ва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еие», «шахсони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5A296A">
        <w:rPr>
          <w:rFonts w:ascii="Palatino Linotype" w:hAnsi="Palatino Linotype"/>
          <w:spacing w:val="-2"/>
        </w:rPr>
        <w:t xml:space="preserve"> ва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еъ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мувофи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ан ба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«шахсони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еию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5A296A">
        <w:rPr>
          <w:rFonts w:ascii="Palatino Linotype" w:hAnsi="Palatino Linotype"/>
          <w:spacing w:val="-2"/>
        </w:rPr>
        <w:t>», «шахсони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5A296A">
        <w:rPr>
          <w:rFonts w:ascii="Palatino Linotype" w:hAnsi="Palatino Linotype"/>
          <w:spacing w:val="-2"/>
        </w:rPr>
        <w:t>», «шахсони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ие», «шахсони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5A296A">
        <w:rPr>
          <w:rFonts w:ascii="Palatino Linotype" w:hAnsi="Palatino Linotype"/>
          <w:spacing w:val="-2"/>
        </w:rPr>
        <w:t>» иваз карда 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2. Дар моддаи 1: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- дар сархати пан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 калимаи «яхшинос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ба калима ва аломати «глятсиолог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,» иваз карда шавад.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3. Матни моддаи 2 дар та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рири зерин ифода карда шавад: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«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икистон дар бораи фаъолияти обу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авошинос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ба Конститутсияи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икистон асос ёфта, аз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онуни мазкур, дигар санад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 xml:space="preserve">ои меъёрии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ии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икистон, инчунин санад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 xml:space="preserve">ои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ии байналмилалие, ки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икистон он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оро эътироф намудааст, иборат мебошад.».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4. Дар сархати шашуми моддаи 3 калимаи «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аламрави» ба калимаи «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удуди» иваз карда шавад.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5. Дар сархати чоруми моддаи 6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идакунии» ва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идакун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)» мувофи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ан ба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идав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ва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идав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)-и» иваз карда 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6. Дар сархати дуюми моддаи 8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идакун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ба» ва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идакун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мувофи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ан ба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идаи» ва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ида» иваз карда 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 xml:space="preserve">7. Дар моддаи 10: 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- дар сархати дуюм калимаи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идакун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ба калимаи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идав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иваз карда шавад;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- аз сархати сеюм аломат ва калимаи «(литсензия)» хори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 карда 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8. Дар ном ва матни моддаи 10</w:t>
      </w:r>
      <w:r w:rsidRPr="005A296A">
        <w:rPr>
          <w:rFonts w:ascii="Palatino Linotype" w:hAnsi="Palatino Linotype"/>
          <w:spacing w:val="-2"/>
          <w:vertAlign w:val="superscript"/>
        </w:rPr>
        <w:t xml:space="preserve">1 </w:t>
      </w:r>
      <w:r w:rsidRPr="005A296A">
        <w:rPr>
          <w:rFonts w:ascii="Palatino Linotype" w:hAnsi="Palatino Linotype"/>
          <w:spacing w:val="-2"/>
        </w:rPr>
        <w:t>калимаи «</w:t>
      </w:r>
      <w:r>
        <w:rPr>
          <w:rFonts w:ascii="Palatino Linotype" w:hAnsi="Palatino Linotype"/>
          <w:spacing w:val="-2"/>
        </w:rPr>
        <w:t>ӯҳ</w:t>
      </w:r>
      <w:r w:rsidRPr="005A296A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ои» мувофи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ан ба калимаи «у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дадори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ои» иваз карда шавад.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9. Дар моддаи 11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онуни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икистон «Дар бораи и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озатномади</w:t>
      </w:r>
      <w:r>
        <w:rPr>
          <w:rFonts w:ascii="Palatino Linotype" w:hAnsi="Palatino Linotype"/>
          <w:spacing w:val="-2"/>
        </w:rPr>
        <w:t>ҳӣ</w:t>
      </w:r>
      <w:r w:rsidRPr="005A296A">
        <w:rPr>
          <w:rFonts w:ascii="Palatino Linotype" w:hAnsi="Palatino Linotype"/>
          <w:spacing w:val="-2"/>
        </w:rPr>
        <w:t xml:space="preserve"> ба баъзе намуд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фаъолият» ба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онуни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икистон «Дар бораи низоми и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озатди</w:t>
      </w:r>
      <w:r>
        <w:rPr>
          <w:rFonts w:ascii="Palatino Linotype" w:hAnsi="Palatino Linotype"/>
          <w:spacing w:val="-2"/>
        </w:rPr>
        <w:t>ҳӣ</w:t>
      </w:r>
      <w:r w:rsidRPr="005A296A">
        <w:rPr>
          <w:rFonts w:ascii="Palatino Linotype" w:hAnsi="Palatino Linotype"/>
          <w:spacing w:val="-2"/>
        </w:rPr>
        <w:t>» иваз карда 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 xml:space="preserve">10. Дар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исми якуми моддаи 12: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- дар сархати сеюм калимаи «яхшинос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ба калимаи «глятсиолог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иваз карда шавад;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- дар сархати ну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ум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абати барф» ба калима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«пирях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 xml:space="preserve">о ва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абат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барф» иваз карда 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 xml:space="preserve">11. Дар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исми якуми моддаи 15 пас аз калимаи «наботот» аломат ва калимаи «, пирях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о» илова карда 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12. Дар моддаи 18: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- дар ном ва матни модда калимаи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идакун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мувофи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ан ба калимаи «мушо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идав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» иваз карда шавад;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 xml:space="preserve">- дар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исми шашум калимаи «</w:t>
      </w:r>
      <w:r>
        <w:rPr>
          <w:rFonts w:ascii="Palatino Linotype" w:hAnsi="Palatino Linotype"/>
          <w:spacing w:val="-2"/>
        </w:rPr>
        <w:t>ӯҳ</w:t>
      </w:r>
      <w:r w:rsidRPr="005A296A">
        <w:rPr>
          <w:rFonts w:ascii="Palatino Linotype" w:hAnsi="Palatino Linotype"/>
          <w:spacing w:val="-2"/>
        </w:rPr>
        <w:t>дадоранд» ба калимаи «у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дадоранд» иваз карда шавад.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 xml:space="preserve">13. Дар сархати сеюми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исми якум ва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исми сеюми моддаи 19 калимаи «манба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ои» ба калимаи «манбаъ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 xml:space="preserve">ои» иваз карда шавад. 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14. Модда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25 ва 26 дар та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рири зерин ифода карда шаванд:</w:t>
      </w:r>
    </w:p>
    <w:p w:rsidR="00221005" w:rsidRPr="005A296A" w:rsidRDefault="00221005" w:rsidP="00221005">
      <w:pPr>
        <w:pStyle w:val="a3"/>
        <w:rPr>
          <w:rFonts w:ascii="Palatino Linotype" w:hAnsi="Palatino Linotype"/>
          <w:b/>
          <w:bCs/>
          <w:spacing w:val="-2"/>
        </w:rPr>
      </w:pPr>
      <w:r w:rsidRPr="005A296A">
        <w:rPr>
          <w:rFonts w:ascii="Palatino Linotype" w:hAnsi="Palatino Linotype"/>
          <w:b/>
          <w:bCs/>
          <w:spacing w:val="-2"/>
        </w:rPr>
        <w:t>«</w:t>
      </w:r>
      <w:r w:rsidRPr="005A296A">
        <w:rPr>
          <w:rStyle w:val="s1"/>
          <w:rFonts w:ascii="Palatino Linotype" w:hAnsi="Palatino Linotype"/>
          <w:spacing w:val="-2"/>
        </w:rPr>
        <w:t>Моддаи 25.</w:t>
      </w:r>
      <w:r w:rsidRPr="005A296A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b/>
          <w:bCs/>
          <w:spacing w:val="-2"/>
        </w:rPr>
        <w:t>Ҳ</w:t>
      </w:r>
      <w:r w:rsidRPr="005A296A">
        <w:rPr>
          <w:rFonts w:ascii="Palatino Linotype" w:hAnsi="Palatino Linotype"/>
          <w:b/>
          <w:bCs/>
          <w:spacing w:val="-2"/>
        </w:rPr>
        <w:t>алли ба</w:t>
      </w:r>
      <w:r>
        <w:rPr>
          <w:rFonts w:ascii="Palatino Linotype" w:hAnsi="Palatino Linotype"/>
          <w:b/>
          <w:bCs/>
          <w:spacing w:val="-2"/>
        </w:rPr>
        <w:t>ҳ</w:t>
      </w:r>
      <w:r w:rsidRPr="005A296A">
        <w:rPr>
          <w:rFonts w:ascii="Palatino Linotype" w:hAnsi="Palatino Linotype"/>
          <w:b/>
          <w:bCs/>
          <w:spacing w:val="-2"/>
        </w:rPr>
        <w:t>с</w:t>
      </w:r>
      <w:r>
        <w:rPr>
          <w:rFonts w:ascii="Palatino Linotype" w:hAnsi="Palatino Linotype"/>
          <w:b/>
          <w:bCs/>
          <w:spacing w:val="-2"/>
        </w:rPr>
        <w:t>ҳ</w:t>
      </w:r>
      <w:r w:rsidRPr="005A296A">
        <w:rPr>
          <w:rFonts w:ascii="Palatino Linotype" w:hAnsi="Palatino Linotype"/>
          <w:b/>
          <w:bCs/>
          <w:spacing w:val="-2"/>
        </w:rPr>
        <w:t xml:space="preserve">о </w:t>
      </w:r>
      <w:r>
        <w:rPr>
          <w:rFonts w:ascii="Palatino Linotype" w:hAnsi="Palatino Linotype"/>
          <w:b/>
          <w:bCs/>
          <w:spacing w:val="-2"/>
        </w:rPr>
        <w:t>ҳ</w:t>
      </w:r>
      <w:r w:rsidRPr="005A296A">
        <w:rPr>
          <w:rFonts w:ascii="Palatino Linotype" w:hAnsi="Palatino Linotype"/>
          <w:b/>
          <w:bCs/>
          <w:spacing w:val="-2"/>
        </w:rPr>
        <w:t>ангоми амал</w:t>
      </w:r>
      <w:r>
        <w:rPr>
          <w:rFonts w:ascii="Palatino Linotype" w:hAnsi="Palatino Linotype"/>
          <w:b/>
          <w:bCs/>
          <w:spacing w:val="-2"/>
        </w:rPr>
        <w:t>ӣ</w:t>
      </w:r>
      <w:r w:rsidRPr="005A296A">
        <w:rPr>
          <w:rFonts w:ascii="Palatino Linotype" w:hAnsi="Palatino Linotype"/>
          <w:b/>
          <w:bCs/>
          <w:spacing w:val="-2"/>
        </w:rPr>
        <w:t xml:space="preserve"> намудани ­фаъолияти обу</w:t>
      </w:r>
      <w:r>
        <w:rPr>
          <w:rFonts w:ascii="Palatino Linotype" w:hAnsi="Palatino Linotype"/>
          <w:b/>
          <w:bCs/>
          <w:spacing w:val="-2"/>
        </w:rPr>
        <w:t>ҳ</w:t>
      </w:r>
      <w:r w:rsidRPr="005A296A">
        <w:rPr>
          <w:rFonts w:ascii="Palatino Linotype" w:hAnsi="Palatino Linotype"/>
          <w:b/>
          <w:bCs/>
          <w:spacing w:val="-2"/>
        </w:rPr>
        <w:t>авошинос</w:t>
      </w:r>
      <w:r>
        <w:rPr>
          <w:rFonts w:ascii="Palatino Linotype" w:hAnsi="Palatino Linotype"/>
          <w:b/>
          <w:bCs/>
          <w:spacing w:val="-2"/>
        </w:rPr>
        <w:t>ӣ</w:t>
      </w:r>
      <w:r w:rsidRPr="005A296A">
        <w:rPr>
          <w:rFonts w:ascii="Palatino Linotype" w:hAnsi="Palatino Linotype"/>
          <w:b/>
          <w:bCs/>
          <w:spacing w:val="-2"/>
        </w:rPr>
        <w:t xml:space="preserve"> 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Ба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с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 дар со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аи фаъолияти обу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авошинос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бо тартиби му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аррарнамудаи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ал карда мешаванд.</w:t>
      </w:r>
    </w:p>
    <w:p w:rsidR="00221005" w:rsidRPr="005A296A" w:rsidRDefault="00221005" w:rsidP="00221005">
      <w:pPr>
        <w:pStyle w:val="a3"/>
        <w:rPr>
          <w:rFonts w:ascii="Palatino Linotype" w:hAnsi="Palatino Linotype"/>
          <w:b/>
          <w:bCs/>
          <w:spacing w:val="-2"/>
        </w:rPr>
      </w:pPr>
      <w:r w:rsidRPr="005A296A">
        <w:rPr>
          <w:rFonts w:ascii="Palatino Linotype" w:hAnsi="Palatino Linotype"/>
          <w:b/>
          <w:bCs/>
          <w:spacing w:val="-2"/>
        </w:rPr>
        <w:t xml:space="preserve">Моддаи 26. </w:t>
      </w:r>
      <w:r>
        <w:rPr>
          <w:rFonts w:ascii="Palatino Linotype" w:hAnsi="Palatino Linotype"/>
          <w:b/>
          <w:bCs/>
          <w:spacing w:val="-2"/>
        </w:rPr>
        <w:t>Ҷ</w:t>
      </w:r>
      <w:r w:rsidRPr="005A296A">
        <w:rPr>
          <w:rFonts w:ascii="Palatino Linotype" w:hAnsi="Palatino Linotype"/>
          <w:b/>
          <w:bCs/>
          <w:spacing w:val="-2"/>
        </w:rPr>
        <w:t>авобгар</w:t>
      </w:r>
      <w:r>
        <w:rPr>
          <w:rFonts w:ascii="Palatino Linotype" w:hAnsi="Palatino Linotype"/>
          <w:b/>
          <w:bCs/>
          <w:spacing w:val="-2"/>
        </w:rPr>
        <w:t>ӣ</w:t>
      </w:r>
      <w:r w:rsidRPr="005A296A">
        <w:rPr>
          <w:rFonts w:ascii="Palatino Linotype" w:hAnsi="Palatino Linotype"/>
          <w:b/>
          <w:bCs/>
          <w:spacing w:val="-2"/>
        </w:rPr>
        <w:t xml:space="preserve"> барои риоя накардани талаботи </w:t>
      </w:r>
      <w:r>
        <w:rPr>
          <w:rFonts w:ascii="Palatino Linotype" w:hAnsi="Palatino Linotype"/>
          <w:b/>
          <w:bCs/>
          <w:spacing w:val="-2"/>
        </w:rPr>
        <w:t>Қ</w:t>
      </w:r>
      <w:r w:rsidRPr="005A296A">
        <w:rPr>
          <w:rFonts w:ascii="Palatino Linotype" w:hAnsi="Palatino Linotype"/>
          <w:b/>
          <w:bCs/>
          <w:spacing w:val="-2"/>
        </w:rPr>
        <w:t>онуни мазкур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Шахсони во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е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ва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у</w:t>
      </w:r>
      <w:r>
        <w:rPr>
          <w:rFonts w:ascii="Palatino Linotype" w:hAnsi="Palatino Linotype"/>
          <w:spacing w:val="-2"/>
        </w:rPr>
        <w:t>қӣ</w:t>
      </w:r>
      <w:r w:rsidRPr="005A296A">
        <w:rPr>
          <w:rFonts w:ascii="Palatino Linotype" w:hAnsi="Palatino Linotype"/>
          <w:spacing w:val="-2"/>
        </w:rPr>
        <w:t xml:space="preserve"> барои риоя накардани талаботи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онуни мазкур бо тартиби му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аррарнамудаи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икистон ба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авобгар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кашида мешаванд.».</w:t>
      </w:r>
    </w:p>
    <w:p w:rsidR="00221005" w:rsidRPr="005A296A" w:rsidRDefault="00221005" w:rsidP="0022100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b/>
          <w:bCs/>
          <w:spacing w:val="-2"/>
        </w:rPr>
        <w:t>Моддаи 2.</w:t>
      </w:r>
      <w:r w:rsidRPr="005A296A"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онуни мазкур пас аз интишори расм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мавриди амал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арор дода шавад.</w:t>
      </w: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221005" w:rsidRPr="005A296A" w:rsidRDefault="00221005" w:rsidP="00221005">
      <w:pPr>
        <w:pStyle w:val="a3"/>
        <w:spacing w:after="57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lastRenderedPageBreak/>
        <w:t>ш. Душанбе, 13 ноябри соли 2024, №2098</w:t>
      </w:r>
    </w:p>
    <w:p w:rsidR="00221005" w:rsidRPr="005A296A" w:rsidRDefault="00221005" w:rsidP="0022100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221005" w:rsidRPr="005A296A" w:rsidRDefault="00221005" w:rsidP="0022100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221005" w:rsidRPr="005A296A" w:rsidRDefault="00221005" w:rsidP="0022100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221005" w:rsidRPr="005A296A" w:rsidRDefault="00221005" w:rsidP="00221005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221005" w:rsidRPr="005A296A" w:rsidRDefault="00221005" w:rsidP="00221005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фаъолияти обу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авошинос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»</w:t>
      </w:r>
    </w:p>
    <w:p w:rsidR="00221005" w:rsidRPr="005A296A" w:rsidRDefault="00221005" w:rsidP="00221005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фаъолияти обу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авошинос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  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№542</w:t>
      </w: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221005" w:rsidRPr="005A296A" w:rsidRDefault="00221005" w:rsidP="0022100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221005" w:rsidRPr="005A296A" w:rsidRDefault="00221005" w:rsidP="0022100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221005" w:rsidRPr="005A296A" w:rsidRDefault="00221005" w:rsidP="0022100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221005" w:rsidRPr="005A296A" w:rsidRDefault="00221005" w:rsidP="0022100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фаъолияти обу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авошинос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»</w:t>
      </w: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фаъолияти обу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авошинос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221005" w:rsidRPr="005A296A" w:rsidRDefault="00221005" w:rsidP="00221005">
      <w:pPr>
        <w:pStyle w:val="a3"/>
        <w:rPr>
          <w:rFonts w:ascii="Palatino Linotype" w:hAnsi="Palatino Linotype"/>
        </w:rPr>
      </w:pP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221005" w:rsidRPr="005A296A" w:rsidRDefault="00221005" w:rsidP="0022100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221005" w:rsidP="00221005">
      <w:r w:rsidRPr="005A296A">
        <w:rPr>
          <w:rFonts w:ascii="Palatino Linotype" w:hAnsi="Palatino Linotype"/>
          <w:b/>
          <w:bCs/>
        </w:rPr>
        <w:t>ш. Душанбе, 1 октябри соли 2024, №1420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05"/>
    <w:rsid w:val="00221005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169C"/>
  <w15:chartTrackingRefBased/>
  <w15:docId w15:val="{995BDCAE-77D0-43C3-9592-E3DC082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22100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221005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221005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customStyle="1" w:styleId="s1">
    <w:name w:val="s1"/>
    <w:uiPriority w:val="99"/>
    <w:rsid w:val="00221005"/>
    <w:rPr>
      <w:rFonts w:ascii="Times New Roman" w:hAnsi="Times New Roman" w:cs="Times New Roman"/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2024-11-18T09:36:00Z</dcterms:created>
  <dcterms:modified xsi:type="dcterms:W3CDTF">2024-11-18T09:36:00Z</dcterms:modified>
</cp:coreProperties>
</file>