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284" w:rsidRDefault="00971284" w:rsidP="00971284">
      <w:pPr>
        <w:pStyle w:val="a4"/>
        <w:suppressAutoHyphens/>
        <w:jc w:val="center"/>
        <w:rPr>
          <w:rFonts w:ascii="Palatino Linotype" w:hAnsi="Palatino Linotype"/>
          <w:caps w:val="0"/>
          <w:position w:val="-14"/>
          <w:sz w:val="66"/>
          <w:szCs w:val="66"/>
        </w:rPr>
      </w:pPr>
      <w:r>
        <w:rPr>
          <w:rFonts w:ascii="Palatino Linotype" w:hAnsi="Palatino Linotype"/>
          <w:caps w:val="0"/>
          <w:position w:val="-14"/>
          <w:sz w:val="66"/>
          <w:szCs w:val="66"/>
        </w:rPr>
        <w:t>Қ</w:t>
      </w:r>
      <w:r w:rsidRPr="005A296A">
        <w:rPr>
          <w:rFonts w:ascii="Palatino Linotype" w:hAnsi="Palatino Linotype"/>
          <w:caps w:val="0"/>
          <w:position w:val="-14"/>
          <w:sz w:val="66"/>
          <w:szCs w:val="66"/>
        </w:rPr>
        <w:t xml:space="preserve">онуни </w:t>
      </w:r>
      <w:r>
        <w:rPr>
          <w:rFonts w:ascii="Palatino Linotype" w:hAnsi="Palatino Linotype"/>
          <w:caps w:val="0"/>
          <w:position w:val="-14"/>
          <w:sz w:val="66"/>
          <w:szCs w:val="66"/>
        </w:rPr>
        <w:t>Ҷ</w:t>
      </w:r>
      <w:r w:rsidRPr="005A296A">
        <w:rPr>
          <w:rFonts w:ascii="Palatino Linotype" w:hAnsi="Palatino Linotype"/>
          <w:caps w:val="0"/>
          <w:position w:val="-14"/>
          <w:sz w:val="66"/>
          <w:szCs w:val="66"/>
        </w:rPr>
        <w:t>ум</w:t>
      </w:r>
      <w:r>
        <w:rPr>
          <w:rFonts w:ascii="Palatino Linotype" w:hAnsi="Palatino Linotype"/>
          <w:caps w:val="0"/>
          <w:position w:val="-14"/>
          <w:sz w:val="66"/>
          <w:szCs w:val="66"/>
        </w:rPr>
        <w:t>ҳ</w:t>
      </w:r>
      <w:r w:rsidRPr="005A296A">
        <w:rPr>
          <w:rFonts w:ascii="Palatino Linotype" w:hAnsi="Palatino Linotype"/>
          <w:caps w:val="0"/>
          <w:position w:val="-14"/>
          <w:sz w:val="66"/>
          <w:szCs w:val="66"/>
        </w:rPr>
        <w:t>урии То</w:t>
      </w:r>
      <w:r>
        <w:rPr>
          <w:rFonts w:ascii="Palatino Linotype" w:hAnsi="Palatino Linotype"/>
          <w:caps w:val="0"/>
          <w:position w:val="-14"/>
          <w:sz w:val="66"/>
          <w:szCs w:val="66"/>
        </w:rPr>
        <w:t>ҷ</w:t>
      </w:r>
      <w:r w:rsidRPr="005A296A">
        <w:rPr>
          <w:rFonts w:ascii="Palatino Linotype" w:hAnsi="Palatino Linotype"/>
          <w:caps w:val="0"/>
          <w:position w:val="-14"/>
          <w:sz w:val="66"/>
          <w:szCs w:val="66"/>
        </w:rPr>
        <w:t xml:space="preserve">икистон </w:t>
      </w:r>
    </w:p>
    <w:p w:rsidR="00971284" w:rsidRPr="00971284" w:rsidRDefault="00971284" w:rsidP="00971284">
      <w:pPr>
        <w:pStyle w:val="a4"/>
        <w:suppressAutoHyphens/>
        <w:jc w:val="center"/>
        <w:rPr>
          <w:rFonts w:ascii="Palatino Linotype" w:hAnsi="Palatino Linotype"/>
          <w:bCs w:val="0"/>
          <w:szCs w:val="24"/>
        </w:rPr>
      </w:pPr>
      <w:r w:rsidRPr="00971284">
        <w:rPr>
          <w:rFonts w:ascii="Palatino Linotype" w:hAnsi="Palatino Linotype"/>
          <w:bCs w:val="0"/>
          <w:caps w:val="0"/>
          <w:szCs w:val="24"/>
        </w:rPr>
        <w:t>Оид ба ворид намудани тағйироту илова ба Қонуни Ҷумҳурии Тоҷикистон «Дар бораи</w:t>
      </w:r>
      <w:r w:rsidRPr="00971284">
        <w:rPr>
          <w:rFonts w:ascii="Palatino Linotype" w:hAnsi="Palatino Linotype"/>
          <w:bCs w:val="0"/>
          <w:caps w:val="0"/>
          <w:szCs w:val="24"/>
        </w:rPr>
        <w:t xml:space="preserve"> </w:t>
      </w:r>
      <w:r w:rsidRPr="00971284">
        <w:rPr>
          <w:rFonts w:ascii="Palatino Linotype" w:hAnsi="Palatino Linotype"/>
          <w:bCs w:val="0"/>
          <w:caps w:val="0"/>
          <w:szCs w:val="24"/>
        </w:rPr>
        <w:t xml:space="preserve">иҷораи молиявӣ (лизинг)» </w:t>
      </w:r>
    </w:p>
    <w:p w:rsidR="00971284" w:rsidRPr="00971284" w:rsidRDefault="00971284" w:rsidP="00971284">
      <w:pPr>
        <w:pStyle w:val="a3"/>
        <w:rPr>
          <w:rFonts w:ascii="Palatino Linotype" w:hAnsi="Palatino Linotype"/>
          <w:sz w:val="28"/>
          <w:szCs w:val="28"/>
        </w:rPr>
      </w:pPr>
      <w:bookmarkStart w:id="0" w:name="_GoBack"/>
    </w:p>
    <w:p w:rsidR="00971284" w:rsidRPr="00971284" w:rsidRDefault="00971284" w:rsidP="00971284">
      <w:pPr>
        <w:pStyle w:val="a3"/>
        <w:rPr>
          <w:rFonts w:ascii="Palatino Linotype" w:hAnsi="Palatino Linotype"/>
          <w:sz w:val="28"/>
          <w:szCs w:val="28"/>
        </w:rPr>
      </w:pPr>
      <w:r w:rsidRPr="00971284">
        <w:rPr>
          <w:rFonts w:ascii="Palatino Linotype" w:hAnsi="Palatino Linotype"/>
          <w:b/>
          <w:bCs/>
          <w:sz w:val="28"/>
          <w:szCs w:val="28"/>
        </w:rPr>
        <w:t>Моддаи 1.</w:t>
      </w:r>
      <w:r w:rsidRPr="00971284">
        <w:rPr>
          <w:rFonts w:ascii="Palatino Linotype" w:hAnsi="Palatino Linotype"/>
          <w:sz w:val="28"/>
          <w:szCs w:val="28"/>
        </w:rPr>
        <w:t xml:space="preserve"> Ба Қонуни Ҷумҳурии Тоҷикистон «Дар бораи иҷораи молиявӣ (лизинг)» аз 22 апрели соли 2003 (Ахбори Маҷлиси Олии Ҷумҳурии Тоҷикистон, с. 2003, №4, мод. 139; с. 2016, №3, мод. 153, №11, мод. 891; с. 2019, №1, мод. 27) тағйироту иловаи зерин ворид карда шаванд: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1. Муқаддимаи Қонун дар таҳрири зерин ифода карда шавад: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«Қонуни мазкур асосҳои ҳуқуқӣ, ташкилӣ ва иқтисодии иҷораи молиявӣ (лизинг)-ро (минбаъд - лизинг) танзим намуда, ба ҳимояи ҳуқуқу манфиатҳои қонунии субъектҳои лизинг равона гардидааст.».</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2. Моддаи 1 дар таҳрири зерин ифода карда шавад: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w:t>
      </w:r>
      <w:r w:rsidRPr="00971284">
        <w:rPr>
          <w:rFonts w:ascii="Palatino Linotype" w:hAnsi="Palatino Linotype"/>
          <w:b/>
          <w:bCs/>
          <w:sz w:val="28"/>
          <w:szCs w:val="28"/>
        </w:rPr>
        <w:t>Моддаи 1. Доираи амали Қонуни мазкур</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Амали Қонуни мазкур нисбат ба фаъолияти лизингӣ ва лизинги молу мулке, ки ба ашёи ғайриистеъмолӣ мансуб буда, бо мақсади соҳибкорӣ барои соҳибӣ ва истифодаи муваққатӣ пешбинӣ гардидааст, паҳн мегардад.».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 xml:space="preserve">3. Дар моддаи 2: </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 xml:space="preserve">- дар сархати дуюм ва матни қонун калимаҳои «мавзӯи», «Мавзӯи», «ӯҳдадориҳои», «ӯҳдадориҳо», «ӯҳдадории», «ӯҳдадориҳое», «ӯҳдадориҳоро», «Ӯҳдадориҳои», «мӯҳлати», «мӯҳлат», «мӯҳлаташ», «мӯҳлатҳои» ва «Мӯҳлати» мувофиқан ба калимаҳои «мавзуи», «Мавзуи», «уҳдадориҳои», «уҳдадориҳо», «уҳдадории», «уҳдадориҳое», «уҳдадориҳоро», «Уҳдадориҳои», «муҳлати», «муҳлат», «муҳлаташ», «муҳлатҳои» ва «Муҳлати» иваз карда шаванд; </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 дар сархати шашум аломати нуқтавергул «;» ба аломати нуқта иваз карда шавад;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lastRenderedPageBreak/>
        <w:t>- сархати ҳафтум хориҷ карда шавад.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4. Дар қисми якуми моддаи 4 калимаҳои «ашёву анҷоми» ба калимаи «ашёи» иваз карда шаванд.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5. Сархати дуюми моддаи 5 дар таҳрири зерин ифода карда шавад: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 лизинггир - шахси воқеӣ ё ҳуқуқӣ, ки объекти лизингро тибқи шартҳои муайян ба соҳибии муваққатӣ ва истифода қабул менамояд;».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6. Дар моддаи 6:</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 дар ном ва матни модда калимаҳои «Сублизинг» ва «суб­лизинг» мувофиқан ба калимаҳои «Иҷораи молиявӣ (лизинг)-и фаръӣ» ва «иҷораи молиявӣ (лизинг)-и фаръӣ» иваз карда шаванд;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 аз қисми якум калимаҳои «зеркирояи мавзӯи» хориҷ карда шаванд.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7. Қисми якуми моддаи 7 дар таҳрири зерин ифода карда шавад: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«Шартномаи иҷораи молиявӣ (лизинг) дар шакли хаттӣ баста шуда, бояд ба тариқи нотариалӣ тасдиқ карда шавад.».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8. Дар қисми дуюми моддаи 8:</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 дар банди б) аломати нуқта ба аломати нуқтавергул «;» иваз карда шавад;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 банди в) бо мазмуни зерин илова карда шавад: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«в) ҳангоми бегона намудан ё ба гарав гузоштани мавзуи лизинг лизинггирро дар бораи ҳуқуқҳои шахсони сеюм нисбат ба он огоҳ намояд.».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9. Дар зербанди е) қисми якуми моддаи 9 калимаи «сублизинг» ба калимаҳои «иҷораи молиявӣ (лизинг)-и фаръӣ» иваз карда шавад.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10. Қисми чоруми моддаи 15 хориҷ карда шавад.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11. Аз ном ва матни моддаи 20 калимаҳои «(амортизатсияи)» ва «(амортизатсияро)» хориҷ карда шаванд.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 xml:space="preserve">12. Аз қисмҳои якум ва дуюми моддаи 24 рақам ва калимаҳои  </w:t>
      </w:r>
      <w:proofErr w:type="gramStart"/>
      <w:r w:rsidRPr="00971284">
        <w:rPr>
          <w:rFonts w:ascii="Palatino Linotype" w:hAnsi="Palatino Linotype"/>
          <w:sz w:val="28"/>
          <w:szCs w:val="28"/>
        </w:rPr>
        <w:t xml:space="preserve">   «</w:t>
      </w:r>
      <w:proofErr w:type="gramEnd"/>
      <w:r w:rsidRPr="00971284">
        <w:rPr>
          <w:rFonts w:ascii="Palatino Linotype" w:hAnsi="Palatino Linotype"/>
          <w:sz w:val="28"/>
          <w:szCs w:val="28"/>
        </w:rPr>
        <w:t>(180 рӯз),» ва «(литсензияи)» хориҷ карда шаванд.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b/>
          <w:bCs/>
          <w:sz w:val="28"/>
          <w:szCs w:val="28"/>
        </w:rPr>
        <w:t>Моддаи 2.</w:t>
      </w:r>
      <w:r w:rsidRPr="00971284">
        <w:rPr>
          <w:rFonts w:ascii="Palatino Linotype" w:hAnsi="Palatino Linotype"/>
          <w:sz w:val="28"/>
          <w:szCs w:val="28"/>
        </w:rPr>
        <w:t xml:space="preserve"> Қонуни мазкур пас аз интишори расмӣ мавриди амал қарор дода шавад.</w:t>
      </w:r>
    </w:p>
    <w:p w:rsidR="00971284" w:rsidRPr="00971284" w:rsidRDefault="00971284" w:rsidP="00971284">
      <w:pPr>
        <w:pStyle w:val="a3"/>
        <w:rPr>
          <w:rFonts w:ascii="Palatino Linotype" w:hAnsi="Palatino Linotype"/>
          <w:sz w:val="28"/>
          <w:szCs w:val="28"/>
        </w:rPr>
      </w:pPr>
    </w:p>
    <w:p w:rsidR="00971284" w:rsidRPr="00971284" w:rsidRDefault="00971284" w:rsidP="00971284">
      <w:pPr>
        <w:pStyle w:val="a3"/>
        <w:ind w:firstLine="0"/>
        <w:rPr>
          <w:rFonts w:ascii="Palatino Linotype" w:hAnsi="Palatino Linotype"/>
          <w:b/>
          <w:bCs/>
          <w:caps/>
          <w:sz w:val="28"/>
          <w:szCs w:val="28"/>
        </w:rPr>
      </w:pPr>
      <w:r w:rsidRPr="00971284">
        <w:rPr>
          <w:rFonts w:ascii="Palatino Linotype" w:hAnsi="Palatino Linotype"/>
          <w:b/>
          <w:bCs/>
          <w:sz w:val="28"/>
          <w:szCs w:val="28"/>
        </w:rPr>
        <w:t xml:space="preserve">Президенти Ҷумҳурии Тоҷикистон          Эмомалӣ </w:t>
      </w:r>
      <w:r w:rsidRPr="00971284">
        <w:rPr>
          <w:rFonts w:ascii="Palatino Linotype" w:hAnsi="Palatino Linotype"/>
          <w:b/>
          <w:bCs/>
          <w:caps/>
          <w:sz w:val="28"/>
          <w:szCs w:val="28"/>
        </w:rPr>
        <w:t>Раҳмон</w:t>
      </w:r>
    </w:p>
    <w:p w:rsidR="00971284" w:rsidRPr="00971284" w:rsidRDefault="00971284" w:rsidP="00971284">
      <w:pPr>
        <w:pStyle w:val="a3"/>
        <w:spacing w:after="142"/>
        <w:ind w:firstLine="0"/>
        <w:rPr>
          <w:rFonts w:ascii="Palatino Linotype" w:hAnsi="Palatino Linotype"/>
          <w:b/>
          <w:bCs/>
          <w:sz w:val="28"/>
          <w:szCs w:val="28"/>
        </w:rPr>
      </w:pPr>
      <w:r w:rsidRPr="00971284">
        <w:rPr>
          <w:rFonts w:ascii="Palatino Linotype" w:hAnsi="Palatino Linotype"/>
          <w:b/>
          <w:bCs/>
          <w:sz w:val="28"/>
          <w:szCs w:val="28"/>
        </w:rPr>
        <w:lastRenderedPageBreak/>
        <w:t>ш. Душанбе, 13 ноябри соли 2024, №2111</w:t>
      </w:r>
    </w:p>
    <w:p w:rsidR="00971284" w:rsidRPr="00971284" w:rsidRDefault="00971284" w:rsidP="00971284">
      <w:pPr>
        <w:pStyle w:val="a5"/>
        <w:jc w:val="center"/>
        <w:rPr>
          <w:rFonts w:ascii="Palatino Linotype" w:hAnsi="Palatino Linotype"/>
          <w:position w:val="-4"/>
          <w:sz w:val="28"/>
          <w:szCs w:val="28"/>
        </w:rPr>
      </w:pPr>
      <w:r w:rsidRPr="00971284">
        <w:rPr>
          <w:rFonts w:ascii="Palatino Linotype" w:hAnsi="Palatino Linotype"/>
          <w:position w:val="-4"/>
          <w:sz w:val="28"/>
          <w:szCs w:val="28"/>
        </w:rPr>
        <w:t>Қарори</w:t>
      </w:r>
    </w:p>
    <w:p w:rsidR="00971284" w:rsidRPr="00971284" w:rsidRDefault="00971284" w:rsidP="00971284">
      <w:pPr>
        <w:pStyle w:val="a5"/>
        <w:jc w:val="center"/>
        <w:rPr>
          <w:rFonts w:ascii="Palatino Linotype" w:hAnsi="Palatino Linotype"/>
          <w:position w:val="-4"/>
          <w:sz w:val="28"/>
          <w:szCs w:val="28"/>
        </w:rPr>
      </w:pPr>
      <w:r w:rsidRPr="00971284">
        <w:rPr>
          <w:rFonts w:ascii="Palatino Linotype" w:hAnsi="Palatino Linotype"/>
          <w:position w:val="-4"/>
          <w:sz w:val="28"/>
          <w:szCs w:val="28"/>
        </w:rPr>
        <w:t xml:space="preserve">Маҷлиси миллии </w:t>
      </w:r>
    </w:p>
    <w:p w:rsidR="00971284" w:rsidRPr="00971284" w:rsidRDefault="00971284" w:rsidP="00971284">
      <w:pPr>
        <w:pStyle w:val="a5"/>
        <w:jc w:val="center"/>
        <w:rPr>
          <w:rFonts w:ascii="Palatino Linotype" w:hAnsi="Palatino Linotype"/>
          <w:sz w:val="28"/>
          <w:szCs w:val="28"/>
        </w:rPr>
      </w:pPr>
      <w:r w:rsidRPr="00971284">
        <w:rPr>
          <w:rFonts w:ascii="Palatino Linotype" w:hAnsi="Palatino Linotype"/>
          <w:position w:val="-4"/>
          <w:sz w:val="28"/>
          <w:szCs w:val="28"/>
        </w:rPr>
        <w:t>Маҷлиси Олии Ҷумҳурии Тоҷикистон</w:t>
      </w:r>
    </w:p>
    <w:p w:rsidR="00971284" w:rsidRPr="00971284" w:rsidRDefault="00971284" w:rsidP="00971284">
      <w:pPr>
        <w:pStyle w:val="a3"/>
        <w:suppressAutoHyphens/>
        <w:jc w:val="center"/>
        <w:rPr>
          <w:rFonts w:ascii="Palatino Linotype" w:hAnsi="Palatino Linotype"/>
          <w:b/>
          <w:bCs/>
          <w:sz w:val="28"/>
          <w:szCs w:val="28"/>
        </w:rPr>
      </w:pPr>
    </w:p>
    <w:p w:rsidR="00971284" w:rsidRPr="00971284" w:rsidRDefault="00971284" w:rsidP="00971284">
      <w:pPr>
        <w:pStyle w:val="a3"/>
        <w:ind w:firstLine="0"/>
        <w:jc w:val="center"/>
        <w:rPr>
          <w:rFonts w:ascii="Palatino Linotype" w:hAnsi="Palatino Linotype"/>
          <w:b/>
          <w:bCs/>
          <w:sz w:val="28"/>
          <w:szCs w:val="28"/>
        </w:rPr>
      </w:pPr>
      <w:r w:rsidRPr="00971284">
        <w:rPr>
          <w:rFonts w:ascii="Palatino Linotype" w:hAnsi="Palatino Linotype"/>
          <w:b/>
          <w:bCs/>
          <w:sz w:val="28"/>
          <w:szCs w:val="28"/>
        </w:rPr>
        <w:t>Дар бораи Қонуни Ҷумҳурии Тоҷикистон «Оид ба ворид намудани тағйироту илова ба Қонуни Ҷумҳурии Тоҷикистон «Дар бораи иҷораи молиявӣ (лизинг)»</w:t>
      </w:r>
    </w:p>
    <w:p w:rsidR="00971284" w:rsidRPr="00971284" w:rsidRDefault="00971284" w:rsidP="00971284">
      <w:pPr>
        <w:pStyle w:val="a3"/>
        <w:ind w:firstLine="0"/>
        <w:jc w:val="center"/>
        <w:rPr>
          <w:rFonts w:ascii="Palatino Linotype" w:hAnsi="Palatino Linotype"/>
          <w:b/>
          <w:bCs/>
          <w:sz w:val="28"/>
          <w:szCs w:val="28"/>
        </w:rPr>
      </w:pP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 xml:space="preserve">Мутобиқи моддаи 60 Конститутсияи Ҷумҳурии Тоҷикистон Маҷлиси миллии Маҷлиси Олии Ҷумҳурии Тоҷикистон </w:t>
      </w:r>
      <w:r w:rsidRPr="00971284">
        <w:rPr>
          <w:rFonts w:ascii="Palatino Linotype" w:hAnsi="Palatino Linotype"/>
          <w:b/>
          <w:bCs/>
          <w:sz w:val="28"/>
          <w:szCs w:val="28"/>
        </w:rPr>
        <w:t>қарор мекунад:</w:t>
      </w:r>
      <w:r w:rsidRPr="00971284">
        <w:rPr>
          <w:rFonts w:ascii="Palatino Linotype" w:hAnsi="Palatino Linotype"/>
          <w:sz w:val="28"/>
          <w:szCs w:val="28"/>
        </w:rPr>
        <w:t xml:space="preserve"> </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Қонуни Ҷумҳурии Тоҷикистон «Оид ба ворид намудани ­тағйироту илова ба Қонуни Ҷумҳурии Тоҷикистон «Дар бораи иҷораи молиявӣ (лизинг)» ҷонибдорӣ карда шавад.</w:t>
      </w:r>
    </w:p>
    <w:p w:rsidR="00971284" w:rsidRPr="00971284" w:rsidRDefault="00971284" w:rsidP="00971284">
      <w:pPr>
        <w:pStyle w:val="a3"/>
        <w:rPr>
          <w:rFonts w:ascii="Palatino Linotype" w:hAnsi="Palatino Linotype"/>
          <w:sz w:val="28"/>
          <w:szCs w:val="28"/>
        </w:rPr>
      </w:pPr>
    </w:p>
    <w:p w:rsidR="00971284" w:rsidRPr="00971284" w:rsidRDefault="00971284" w:rsidP="00971284">
      <w:pPr>
        <w:pStyle w:val="a3"/>
        <w:ind w:firstLine="0"/>
        <w:rPr>
          <w:rFonts w:ascii="Palatino Linotype" w:hAnsi="Palatino Linotype"/>
          <w:b/>
          <w:bCs/>
          <w:sz w:val="28"/>
          <w:szCs w:val="28"/>
        </w:rPr>
      </w:pPr>
      <w:r w:rsidRPr="00971284">
        <w:rPr>
          <w:rFonts w:ascii="Palatino Linotype" w:hAnsi="Palatino Linotype"/>
          <w:b/>
          <w:bCs/>
          <w:sz w:val="28"/>
          <w:szCs w:val="28"/>
        </w:rPr>
        <w:t xml:space="preserve">Раиси Маҷлиси миллии Маҷлиси Олии </w:t>
      </w:r>
    </w:p>
    <w:p w:rsidR="00971284" w:rsidRPr="00971284" w:rsidRDefault="00971284" w:rsidP="00971284">
      <w:pPr>
        <w:pStyle w:val="a3"/>
        <w:ind w:firstLine="0"/>
        <w:rPr>
          <w:rFonts w:ascii="Palatino Linotype" w:hAnsi="Palatino Linotype"/>
          <w:b/>
          <w:bCs/>
          <w:sz w:val="28"/>
          <w:szCs w:val="28"/>
        </w:rPr>
      </w:pPr>
      <w:r w:rsidRPr="00971284">
        <w:rPr>
          <w:rFonts w:ascii="Palatino Linotype" w:hAnsi="Palatino Linotype"/>
          <w:b/>
          <w:bCs/>
          <w:sz w:val="28"/>
          <w:szCs w:val="28"/>
        </w:rPr>
        <w:t xml:space="preserve">Ҷумҳурии Тоҷикистон </w:t>
      </w:r>
      <w:r w:rsidRPr="00971284">
        <w:rPr>
          <w:rFonts w:ascii="Palatino Linotype" w:hAnsi="Palatino Linotype"/>
          <w:b/>
          <w:bCs/>
          <w:sz w:val="28"/>
          <w:szCs w:val="28"/>
        </w:rPr>
        <w:tab/>
      </w:r>
      <w:r w:rsidRPr="00971284">
        <w:rPr>
          <w:rFonts w:ascii="Palatino Linotype" w:hAnsi="Palatino Linotype"/>
          <w:b/>
          <w:bCs/>
          <w:sz w:val="28"/>
          <w:szCs w:val="28"/>
        </w:rPr>
        <w:tab/>
        <w:t xml:space="preserve">             Рустами </w:t>
      </w:r>
      <w:r w:rsidRPr="00971284">
        <w:rPr>
          <w:rFonts w:ascii="Palatino Linotype" w:hAnsi="Palatino Linotype"/>
          <w:b/>
          <w:bCs/>
          <w:caps/>
          <w:sz w:val="28"/>
          <w:szCs w:val="28"/>
        </w:rPr>
        <w:t>Эмомалӣ</w:t>
      </w:r>
    </w:p>
    <w:p w:rsidR="00971284" w:rsidRPr="00971284" w:rsidRDefault="00971284" w:rsidP="00971284">
      <w:pPr>
        <w:pStyle w:val="a3"/>
        <w:ind w:firstLine="0"/>
        <w:rPr>
          <w:rFonts w:ascii="Palatino Linotype" w:hAnsi="Palatino Linotype"/>
          <w:b/>
          <w:bCs/>
          <w:sz w:val="28"/>
          <w:szCs w:val="28"/>
        </w:rPr>
      </w:pPr>
      <w:r w:rsidRPr="00971284">
        <w:rPr>
          <w:rFonts w:ascii="Palatino Linotype" w:hAnsi="Palatino Linotype"/>
          <w:b/>
          <w:bCs/>
          <w:sz w:val="28"/>
          <w:szCs w:val="28"/>
        </w:rPr>
        <w:t>ш. Душанбе, 5 ноябри соли 2024, №555</w:t>
      </w:r>
    </w:p>
    <w:p w:rsidR="00971284" w:rsidRPr="00971284" w:rsidRDefault="00971284" w:rsidP="00971284">
      <w:pPr>
        <w:pStyle w:val="a3"/>
        <w:ind w:firstLine="0"/>
        <w:rPr>
          <w:rFonts w:ascii="Palatino Linotype" w:hAnsi="Palatino Linotype"/>
          <w:b/>
          <w:bCs/>
          <w:sz w:val="28"/>
          <w:szCs w:val="28"/>
        </w:rPr>
      </w:pPr>
    </w:p>
    <w:p w:rsidR="00971284" w:rsidRPr="00971284" w:rsidRDefault="00971284" w:rsidP="00971284">
      <w:pPr>
        <w:pStyle w:val="a5"/>
        <w:jc w:val="center"/>
        <w:rPr>
          <w:rFonts w:ascii="Palatino Linotype" w:hAnsi="Palatino Linotype"/>
          <w:sz w:val="28"/>
          <w:szCs w:val="28"/>
        </w:rPr>
      </w:pPr>
      <w:r w:rsidRPr="00971284">
        <w:rPr>
          <w:rFonts w:ascii="Palatino Linotype" w:hAnsi="Palatino Linotype"/>
          <w:sz w:val="28"/>
          <w:szCs w:val="28"/>
        </w:rPr>
        <w:t>Қарори</w:t>
      </w:r>
    </w:p>
    <w:p w:rsidR="00971284" w:rsidRPr="00971284" w:rsidRDefault="00971284" w:rsidP="00971284">
      <w:pPr>
        <w:pStyle w:val="a5"/>
        <w:jc w:val="center"/>
        <w:rPr>
          <w:rFonts w:ascii="Palatino Linotype" w:hAnsi="Palatino Linotype"/>
          <w:sz w:val="28"/>
          <w:szCs w:val="28"/>
        </w:rPr>
      </w:pPr>
      <w:r w:rsidRPr="00971284">
        <w:rPr>
          <w:rFonts w:ascii="Palatino Linotype" w:hAnsi="Palatino Linotype"/>
          <w:sz w:val="28"/>
          <w:szCs w:val="28"/>
        </w:rPr>
        <w:t xml:space="preserve">Маҷлиси намояндагони </w:t>
      </w:r>
    </w:p>
    <w:p w:rsidR="00971284" w:rsidRPr="00971284" w:rsidRDefault="00971284" w:rsidP="00971284">
      <w:pPr>
        <w:pStyle w:val="a5"/>
        <w:jc w:val="center"/>
        <w:rPr>
          <w:rFonts w:ascii="Palatino Linotype" w:hAnsi="Palatino Linotype"/>
          <w:sz w:val="28"/>
          <w:szCs w:val="28"/>
        </w:rPr>
      </w:pPr>
      <w:r w:rsidRPr="00971284">
        <w:rPr>
          <w:rFonts w:ascii="Palatino Linotype" w:hAnsi="Palatino Linotype"/>
          <w:sz w:val="28"/>
          <w:szCs w:val="28"/>
        </w:rPr>
        <w:t>Маҷлиси Олии Ҷумҳурии Тоҷикистон</w:t>
      </w:r>
    </w:p>
    <w:p w:rsidR="00971284" w:rsidRPr="00971284" w:rsidRDefault="00971284" w:rsidP="00971284">
      <w:pPr>
        <w:pStyle w:val="a3"/>
        <w:suppressAutoHyphens/>
        <w:ind w:firstLine="0"/>
        <w:jc w:val="center"/>
        <w:rPr>
          <w:rFonts w:ascii="Palatino Linotype" w:hAnsi="Palatino Linotype"/>
          <w:b/>
          <w:bCs/>
          <w:sz w:val="28"/>
          <w:szCs w:val="28"/>
        </w:rPr>
      </w:pPr>
    </w:p>
    <w:p w:rsidR="00971284" w:rsidRPr="00971284" w:rsidRDefault="00971284" w:rsidP="00971284">
      <w:pPr>
        <w:pStyle w:val="a3"/>
        <w:ind w:firstLine="0"/>
        <w:rPr>
          <w:rFonts w:ascii="Palatino Linotype" w:hAnsi="Palatino Linotype"/>
          <w:b/>
          <w:bCs/>
          <w:sz w:val="28"/>
          <w:szCs w:val="28"/>
        </w:rPr>
      </w:pPr>
      <w:r w:rsidRPr="00971284">
        <w:rPr>
          <w:rFonts w:ascii="Palatino Linotype" w:hAnsi="Palatino Linotype"/>
          <w:b/>
          <w:bCs/>
          <w:sz w:val="28"/>
          <w:szCs w:val="28"/>
        </w:rPr>
        <w:t>Дар бораи қабул кардани Қонуни Ҷумҳурии Тоҷикистон «Оид ба ворид намудани тағйироту илова ба Қонуни Ҷумҳурии Тоҷикистон «Дар бораи иҷораи молиявӣ (лизинг)»</w:t>
      </w:r>
    </w:p>
    <w:p w:rsidR="00971284" w:rsidRPr="00971284" w:rsidRDefault="00971284" w:rsidP="00971284">
      <w:pPr>
        <w:pStyle w:val="a3"/>
        <w:rPr>
          <w:rFonts w:ascii="Palatino Linotype" w:hAnsi="Palatino Linotype"/>
          <w:sz w:val="28"/>
          <w:szCs w:val="28"/>
        </w:rPr>
      </w:pP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t xml:space="preserve">Мутобиқи моддаи 60 Конститутсияи Ҷумҳурии Тоҷикистон Маҷлиси намояндагони Маҷлиси Олии Ҷумҳурии Тоҷикистон </w:t>
      </w:r>
      <w:r w:rsidRPr="00971284">
        <w:rPr>
          <w:rFonts w:ascii="Palatino Linotype" w:hAnsi="Palatino Linotype"/>
          <w:b/>
          <w:bCs/>
          <w:sz w:val="28"/>
          <w:szCs w:val="28"/>
        </w:rPr>
        <w:t>қарор мекунад:</w:t>
      </w:r>
    </w:p>
    <w:p w:rsidR="00971284" w:rsidRPr="00971284" w:rsidRDefault="00971284" w:rsidP="00971284">
      <w:pPr>
        <w:pStyle w:val="a3"/>
        <w:rPr>
          <w:rFonts w:ascii="Palatino Linotype" w:hAnsi="Palatino Linotype"/>
          <w:sz w:val="28"/>
          <w:szCs w:val="28"/>
        </w:rPr>
      </w:pPr>
      <w:r w:rsidRPr="00971284">
        <w:rPr>
          <w:rFonts w:ascii="Palatino Linotype" w:hAnsi="Palatino Linotype"/>
          <w:sz w:val="28"/>
          <w:szCs w:val="28"/>
        </w:rPr>
        <w:lastRenderedPageBreak/>
        <w:t>Қонуни Ҷумҳурии Тоҷикистон «Оид ба ворид намудани тағйи­роту илова ба Қонуни Ҷумҳурии Тоҷикистон «Дар бораи иҷораи молиявӣ (лизинг)» қабул карда шавад.</w:t>
      </w:r>
    </w:p>
    <w:p w:rsidR="00971284" w:rsidRPr="00971284" w:rsidRDefault="00971284" w:rsidP="00971284">
      <w:pPr>
        <w:pStyle w:val="a3"/>
        <w:rPr>
          <w:rFonts w:ascii="Palatino Linotype" w:hAnsi="Palatino Linotype"/>
          <w:sz w:val="28"/>
          <w:szCs w:val="28"/>
        </w:rPr>
      </w:pPr>
    </w:p>
    <w:p w:rsidR="00971284" w:rsidRPr="00971284" w:rsidRDefault="00971284" w:rsidP="00971284">
      <w:pPr>
        <w:pStyle w:val="a3"/>
        <w:ind w:firstLine="0"/>
        <w:rPr>
          <w:rFonts w:ascii="Palatino Linotype" w:hAnsi="Palatino Linotype"/>
          <w:b/>
          <w:bCs/>
          <w:sz w:val="28"/>
          <w:szCs w:val="28"/>
        </w:rPr>
      </w:pPr>
      <w:r w:rsidRPr="00971284">
        <w:rPr>
          <w:rFonts w:ascii="Palatino Linotype" w:hAnsi="Palatino Linotype"/>
          <w:b/>
          <w:bCs/>
          <w:sz w:val="28"/>
          <w:szCs w:val="28"/>
        </w:rPr>
        <w:t xml:space="preserve">Раиси Маҷлиси намояндагони </w:t>
      </w:r>
    </w:p>
    <w:p w:rsidR="00971284" w:rsidRPr="00971284" w:rsidRDefault="00971284" w:rsidP="00971284">
      <w:pPr>
        <w:pStyle w:val="a3"/>
        <w:ind w:firstLine="0"/>
        <w:rPr>
          <w:rFonts w:ascii="Palatino Linotype" w:hAnsi="Palatino Linotype"/>
          <w:b/>
          <w:bCs/>
          <w:sz w:val="28"/>
          <w:szCs w:val="28"/>
        </w:rPr>
      </w:pPr>
      <w:r w:rsidRPr="00971284">
        <w:rPr>
          <w:rFonts w:ascii="Palatino Linotype" w:hAnsi="Palatino Linotype"/>
          <w:b/>
          <w:bCs/>
          <w:sz w:val="28"/>
          <w:szCs w:val="28"/>
        </w:rPr>
        <w:t>Маҷлиси Олии Ҷумҳурии Тоҷикистон</w:t>
      </w:r>
      <w:r w:rsidRPr="00971284">
        <w:rPr>
          <w:rFonts w:ascii="Palatino Linotype" w:hAnsi="Palatino Linotype"/>
          <w:b/>
          <w:bCs/>
          <w:sz w:val="28"/>
          <w:szCs w:val="28"/>
        </w:rPr>
        <w:tab/>
        <w:t xml:space="preserve">     М. </w:t>
      </w:r>
      <w:r w:rsidRPr="00971284">
        <w:rPr>
          <w:rFonts w:ascii="Palatino Linotype" w:hAnsi="Palatino Linotype"/>
          <w:b/>
          <w:bCs/>
          <w:caps/>
          <w:sz w:val="28"/>
          <w:szCs w:val="28"/>
        </w:rPr>
        <w:t>Зокирзода</w:t>
      </w:r>
    </w:p>
    <w:p w:rsidR="00CA4894" w:rsidRPr="00971284" w:rsidRDefault="00971284" w:rsidP="00971284">
      <w:pPr>
        <w:rPr>
          <w:szCs w:val="28"/>
        </w:rPr>
      </w:pPr>
      <w:r w:rsidRPr="00971284">
        <w:rPr>
          <w:rFonts w:ascii="Palatino Linotype" w:hAnsi="Palatino Linotype"/>
          <w:b/>
          <w:bCs/>
          <w:szCs w:val="28"/>
        </w:rPr>
        <w:t>ш. Душанбе, 9 октябри соли 2024, №1438</w:t>
      </w:r>
      <w:bookmarkEnd w:id="0"/>
    </w:p>
    <w:sectPr w:rsidR="00CA4894" w:rsidRPr="00971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Tj">
    <w:panose1 w:val="020B0604020202020204"/>
    <w:charset w:val="CC"/>
    <w:family w:val="swiss"/>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et Tj">
    <w:panose1 w:val="020703000202050204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84"/>
    <w:rsid w:val="00971284"/>
    <w:rsid w:val="00CA4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9F61"/>
  <w15:chartTrackingRefBased/>
  <w15:docId w15:val="{96503EC9-F9C2-4870-A079-A283A0AC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Tj" w:eastAsiaTheme="minorHAnsi" w:hAnsi="Arial Tj" w:cs="Times New Roman"/>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1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971284"/>
    <w:pPr>
      <w:autoSpaceDE w:val="0"/>
      <w:autoSpaceDN w:val="0"/>
      <w:adjustRightInd w:val="0"/>
      <w:spacing w:line="288" w:lineRule="auto"/>
      <w:ind w:firstLine="283"/>
      <w:jc w:val="both"/>
      <w:textAlignment w:val="center"/>
    </w:pPr>
    <w:rPr>
      <w:rFonts w:cs="Arial Tj"/>
      <w:color w:val="000000"/>
      <w:sz w:val="18"/>
      <w:szCs w:val="18"/>
    </w:rPr>
  </w:style>
  <w:style w:type="paragraph" w:customStyle="1" w:styleId="a4">
    <w:name w:val="Сарлавха нав"/>
    <w:basedOn w:val="a3"/>
    <w:uiPriority w:val="99"/>
    <w:rsid w:val="00971284"/>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971284"/>
    <w:pPr>
      <w:suppressAutoHyphens/>
      <w:autoSpaceDE w:val="0"/>
      <w:autoSpaceDN w:val="0"/>
      <w:adjustRightInd w:val="0"/>
      <w:spacing w:line="288" w:lineRule="auto"/>
      <w:ind w:firstLine="0"/>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1</cp:revision>
  <dcterms:created xsi:type="dcterms:W3CDTF">2024-11-18T09:27:00Z</dcterms:created>
  <dcterms:modified xsi:type="dcterms:W3CDTF">2024-11-18T09:27:00Z</dcterms:modified>
</cp:coreProperties>
</file>