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587" w:rsidRDefault="00F45587" w:rsidP="00F45587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икистон </w:t>
      </w:r>
    </w:p>
    <w:p w:rsidR="00F45587" w:rsidRPr="00F45587" w:rsidRDefault="00F45587" w:rsidP="00F45587">
      <w:pPr>
        <w:pStyle w:val="a4"/>
        <w:suppressAutoHyphens/>
        <w:jc w:val="center"/>
        <w:rPr>
          <w:rFonts w:ascii="Palatino Linotype" w:hAnsi="Palatino Linotype"/>
          <w:bCs w:val="0"/>
          <w:sz w:val="40"/>
          <w:szCs w:val="28"/>
        </w:rPr>
      </w:pPr>
      <w:r w:rsidRPr="00F45587">
        <w:rPr>
          <w:rFonts w:ascii="Palatino Linotype" w:hAnsi="Palatino Linotype"/>
          <w:bCs w:val="0"/>
          <w:caps w:val="0"/>
          <w:sz w:val="40"/>
          <w:szCs w:val="28"/>
        </w:rPr>
        <w:t>Оид ба ворид намудани тағйиру иловаҳо ба Қонуни Ҷумҳурии Тоҷикистон «Дар бораи ғалла ва маҳсулоти коркарди он»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>Моддаи 1.</w:t>
      </w:r>
      <w:r w:rsidRPr="005A296A">
        <w:rPr>
          <w:rFonts w:ascii="Palatino Linotype" w:hAnsi="Palatino Linotype"/>
          <w:sz w:val="20"/>
          <w:szCs w:val="20"/>
        </w:rPr>
        <w:t xml:space="preserve"> Ба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 xml:space="preserve">онуни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икистон «Дар бораи 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>алла ва 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сулоти коркарди он» аз 21 феврали соли 2018 (Ахбори Ма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лиси Олии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икистон, с. 2018, №2, мод. 65; с. 2021, №6, мод. 390) та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>йиру илова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зерин ворид карда шав</w:t>
      </w:r>
      <w:bookmarkStart w:id="0" w:name="_GoBack"/>
      <w:bookmarkEnd w:id="0"/>
      <w:r w:rsidRPr="005A296A">
        <w:rPr>
          <w:rFonts w:ascii="Palatino Linotype" w:hAnsi="Palatino Linotype"/>
          <w:sz w:val="20"/>
          <w:szCs w:val="20"/>
        </w:rPr>
        <w:t>анд: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1. Дар сархати пан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уми моддаи 1,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 xml:space="preserve">исми 1 моддаи 2,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 xml:space="preserve">исми 6   моддаи 14,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2 ва 4 моддаи 16 калимаи «парранда» ба калимаи «паранда» иваз карда шавад.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2. Дар моддаи 1: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- дар сархати якум аломат ва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«, л</w:t>
      </w:r>
      <w:r>
        <w:rPr>
          <w:rFonts w:ascii="Palatino Linotype" w:hAnsi="Palatino Linotype"/>
          <w:sz w:val="20"/>
          <w:szCs w:val="20"/>
        </w:rPr>
        <w:t>ӯ</w:t>
      </w:r>
      <w:r w:rsidRPr="005A296A">
        <w:rPr>
          <w:rFonts w:ascii="Palatino Linotype" w:hAnsi="Palatino Linotype"/>
          <w:sz w:val="20"/>
          <w:szCs w:val="20"/>
        </w:rPr>
        <w:t>биё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ва рав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>андор»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«ва л</w:t>
      </w:r>
      <w:r>
        <w:rPr>
          <w:rFonts w:ascii="Palatino Linotype" w:hAnsi="Palatino Linotype"/>
          <w:sz w:val="20"/>
          <w:szCs w:val="20"/>
        </w:rPr>
        <w:t>ӯ</w:t>
      </w:r>
      <w:r w:rsidRPr="005A296A">
        <w:rPr>
          <w:rFonts w:ascii="Palatino Linotype" w:hAnsi="Palatino Linotype"/>
          <w:sz w:val="20"/>
          <w:szCs w:val="20"/>
        </w:rPr>
        <w:t>биё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>» иваз карда шаванд;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- дар сархати 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аштум калимаи «бехатар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>» ва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«ба ниго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 xml:space="preserve"> доштани» мувофи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ан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 xml:space="preserve">ои «бехатарии 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>алла» ва «ба ниго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дории» иваз карда шаванд;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- дар сархати да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ум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«объект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карантин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>»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«дигар объект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та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ти карантин ­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арордошта» иваз карда шаванд;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- дар сархати понзда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ум аломати ну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та ба аломати ну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тавергул «;» иваз карда шавад;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- сархати шонзда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ум бо мазмуни зерин илова карда шавад: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«- 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бозори </w:t>
      </w:r>
      <w:r>
        <w:rPr>
          <w:rFonts w:ascii="Palatino Linotype" w:hAnsi="Palatino Linotype"/>
          <w:b/>
          <w:bCs/>
          <w:sz w:val="20"/>
          <w:szCs w:val="20"/>
        </w:rPr>
        <w:t>ғ</w:t>
      </w:r>
      <w:r w:rsidRPr="005A296A">
        <w:rPr>
          <w:rFonts w:ascii="Palatino Linotype" w:hAnsi="Palatino Linotype"/>
          <w:b/>
          <w:bCs/>
          <w:sz w:val="20"/>
          <w:szCs w:val="20"/>
        </w:rPr>
        <w:t>алла</w:t>
      </w:r>
      <w:r w:rsidRPr="005A296A">
        <w:rPr>
          <w:rFonts w:ascii="Palatino Linotype" w:hAnsi="Palatino Linotype"/>
          <w:sz w:val="20"/>
          <w:szCs w:val="20"/>
        </w:rPr>
        <w:t xml:space="preserve"> – низоми яклухти ташаккул ва та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симоти доимии захира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 xml:space="preserve">ои 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>алла, 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 xml:space="preserve">сулоти коркарди аввалия ва минбаъдаи он, ки 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амкории исте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 xml:space="preserve">солкунандагону истеъмолкунандагонро оид ба муайян намудани 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а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м ва сохтори исте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солот, инчунин сифат ва нархи 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сулот таъмин менамояд.».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3. Дар сархати пан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уми моддаи 4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«сохтори исте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 xml:space="preserve">солии 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>алла»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 xml:space="preserve">ои «таркиби 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>аллаи исте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солшаванда» иваз карда шаванд.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4. Дар моддаи 7: 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- ба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исми 1 сархат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сеюм ва чорум бо мазмуни зерин илова карда шаванд: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«- нархи фур</w:t>
      </w:r>
      <w:r>
        <w:rPr>
          <w:rFonts w:ascii="Palatino Linotype" w:hAnsi="Palatino Linotype"/>
          <w:sz w:val="20"/>
          <w:szCs w:val="20"/>
        </w:rPr>
        <w:t>ӯ</w:t>
      </w:r>
      <w:r w:rsidRPr="005A296A">
        <w:rPr>
          <w:rFonts w:ascii="Palatino Linotype" w:hAnsi="Palatino Linotype"/>
          <w:sz w:val="20"/>
          <w:szCs w:val="20"/>
        </w:rPr>
        <w:t xml:space="preserve">ши 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>алла ва 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сулоти коркарди онро бо тартиби му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 xml:space="preserve">аррарнамудаи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 xml:space="preserve">онунгузории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икистон муайян намоянд;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- барои амал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намудани фаъолият дар муомилоти 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>алла ва 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сулоти коркарди он бо шахсони во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е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ва 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у</w:t>
      </w:r>
      <w:r>
        <w:rPr>
          <w:rFonts w:ascii="Palatino Linotype" w:hAnsi="Palatino Linotype"/>
          <w:sz w:val="20"/>
          <w:szCs w:val="20"/>
        </w:rPr>
        <w:t>қӣ</w:t>
      </w:r>
      <w:r w:rsidRPr="005A296A">
        <w:rPr>
          <w:rFonts w:ascii="Palatino Linotype" w:hAnsi="Palatino Linotype"/>
          <w:sz w:val="20"/>
          <w:szCs w:val="20"/>
        </w:rPr>
        <w:t xml:space="preserve"> шартнома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 ба имзо расонанд;»;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- ба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исми 2 сархати чорум бо мазмуни зерин илова карда шавад: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«- барои гузарондани сертификатсияи сифати 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>алла ва 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сулоти коркарди он маълумоти эътимоднок ва пурраро пешни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од намоянд;».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5. Дар моддаи 9: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- дар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2 ва 3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«аз ли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ози ирс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дигаргун (модификатсия)» мувофи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ан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 xml:space="preserve">ои «бо истифода аз организми аз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и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ати генетик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та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>йирдодашуда исте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сол» иваз карда шаванд;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- дар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исми 5 калимаи «Шахсоне»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«Шахсони во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е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ва 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у</w:t>
      </w:r>
      <w:r>
        <w:rPr>
          <w:rFonts w:ascii="Palatino Linotype" w:hAnsi="Palatino Linotype"/>
          <w:sz w:val="20"/>
          <w:szCs w:val="20"/>
        </w:rPr>
        <w:t>қӣ</w:t>
      </w:r>
      <w:r w:rsidRPr="005A296A">
        <w:rPr>
          <w:rFonts w:ascii="Palatino Linotype" w:hAnsi="Palatino Linotype"/>
          <w:sz w:val="20"/>
          <w:szCs w:val="20"/>
        </w:rPr>
        <w:t>» иваз карда шавад.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6. Ба ном ва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исми 1 моддаи 12 пас аз калимаи «Коркарди» калимаи «аввалияи» илова карда шавад.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7. Дар моддаи 16: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lastRenderedPageBreak/>
        <w:t xml:space="preserve">- дар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исми 2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«хадамоти давлатии байтор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>»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«ма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оми ваколатдори давлат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дар со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аи бехатарии озу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авор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>» иваз карда шаванд;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8. Дар сархати дуюми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исми 3 моддаи 19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«карантини растан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>»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«фитосанитар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ва карантини растани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о» иваз карда шаванд.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9. Дар сархати сеюми моддаи 20 калимаи «кишоварз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>» ба калимаи «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>алладонаг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» </w:t>
      </w:r>
      <w:proofErr w:type="gramStart"/>
      <w:r w:rsidRPr="005A296A">
        <w:rPr>
          <w:rFonts w:ascii="Palatino Linotype" w:hAnsi="Palatino Linotype"/>
          <w:sz w:val="20"/>
          <w:szCs w:val="20"/>
        </w:rPr>
        <w:t>иваз  карда</w:t>
      </w:r>
      <w:proofErr w:type="gramEnd"/>
      <w:r w:rsidRPr="005A296A">
        <w:rPr>
          <w:rFonts w:ascii="Palatino Linotype" w:hAnsi="Palatino Linotype"/>
          <w:sz w:val="20"/>
          <w:szCs w:val="20"/>
        </w:rPr>
        <w:t xml:space="preserve"> шавад.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10. Дар моддаи 21: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- дар сархати якум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«аълосифат ва хушсифат»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«аълосифати сертификатсияшуда» иваз карда шаванд;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- аз сархати сеюм пас аз калимаи «ватании» калимаи «ма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сулоти» хори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 карда шавад.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>Моддаи 2.</w:t>
      </w:r>
      <w:r w:rsidRPr="005A296A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онуни мазкур пас аз интишори расм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мавриди амал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арор дода шавад.</w:t>
      </w:r>
    </w:p>
    <w:p w:rsidR="00F45587" w:rsidRPr="005A296A" w:rsidRDefault="00F45587" w:rsidP="00F45587">
      <w:pPr>
        <w:pStyle w:val="a3"/>
        <w:rPr>
          <w:rFonts w:ascii="Palatino Linotype" w:hAnsi="Palatino Linotype"/>
          <w:sz w:val="20"/>
          <w:szCs w:val="20"/>
        </w:rPr>
      </w:pPr>
    </w:p>
    <w:p w:rsidR="00F45587" w:rsidRPr="005A296A" w:rsidRDefault="00F45587" w:rsidP="00F45587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 xml:space="preserve">Президенти  </w:t>
      </w:r>
    </w:p>
    <w:p w:rsidR="00F45587" w:rsidRPr="005A296A" w:rsidRDefault="00F45587" w:rsidP="00F45587">
      <w:pPr>
        <w:pStyle w:val="a3"/>
        <w:ind w:firstLine="0"/>
        <w:rPr>
          <w:rFonts w:ascii="Palatino Linotype" w:hAnsi="Palatino Linotype"/>
          <w:b/>
          <w:bCs/>
          <w:cap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5A296A">
        <w:rPr>
          <w:rFonts w:ascii="Palatino Linotype" w:hAnsi="Palatino Linotype"/>
          <w:b/>
          <w:bCs/>
          <w:sz w:val="20"/>
          <w:szCs w:val="20"/>
        </w:rPr>
        <w:t>урии 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икистон       </w:t>
      </w:r>
      <w:r w:rsidRPr="005A296A">
        <w:rPr>
          <w:rFonts w:ascii="Palatino Linotype" w:hAnsi="Palatino Linotype"/>
          <w:b/>
          <w:bCs/>
          <w:sz w:val="20"/>
          <w:szCs w:val="20"/>
        </w:rPr>
        <w:tab/>
        <w:t xml:space="preserve">         Эмомал</w:t>
      </w:r>
      <w:r>
        <w:rPr>
          <w:rFonts w:ascii="Palatino Linotype" w:hAnsi="Palatino Linotype"/>
          <w:b/>
          <w:bCs/>
          <w:sz w:val="20"/>
          <w:szCs w:val="20"/>
        </w:rPr>
        <w:t>ӣ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5A296A">
        <w:rPr>
          <w:rFonts w:ascii="Palatino Linotype" w:hAnsi="Palatino Linotype"/>
          <w:b/>
          <w:bCs/>
          <w:caps/>
          <w:sz w:val="20"/>
          <w:szCs w:val="20"/>
        </w:rPr>
        <w:t>Ра</w:t>
      </w:r>
      <w:r>
        <w:rPr>
          <w:rFonts w:ascii="Palatino Linotype" w:hAnsi="Palatino Linotype"/>
          <w:b/>
          <w:bCs/>
          <w:caps/>
          <w:sz w:val="20"/>
          <w:szCs w:val="20"/>
        </w:rPr>
        <w:t>ҳ</w:t>
      </w:r>
      <w:r w:rsidRPr="005A296A">
        <w:rPr>
          <w:rFonts w:ascii="Palatino Linotype" w:hAnsi="Palatino Linotype"/>
          <w:b/>
          <w:bCs/>
          <w:caps/>
          <w:sz w:val="20"/>
          <w:szCs w:val="20"/>
        </w:rPr>
        <w:t>мон</w:t>
      </w:r>
    </w:p>
    <w:p w:rsidR="00F45587" w:rsidRPr="005A296A" w:rsidRDefault="00F45587" w:rsidP="00F45587">
      <w:pPr>
        <w:pStyle w:val="a3"/>
        <w:spacing w:after="142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>ш. Душанбе, 13 ноябри соли 2024, №2095</w:t>
      </w:r>
    </w:p>
    <w:p w:rsidR="00F45587" w:rsidRPr="005A296A" w:rsidRDefault="00F45587" w:rsidP="00F45587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арори </w:t>
      </w: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F45587" w:rsidRPr="005A296A" w:rsidRDefault="00F45587" w:rsidP="00F45587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F45587" w:rsidRPr="005A296A" w:rsidRDefault="00F45587" w:rsidP="00F45587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«Дар бораи 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алла ва ма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сулоти коркарди он»</w:t>
      </w:r>
    </w:p>
    <w:p w:rsidR="00F45587" w:rsidRPr="005A296A" w:rsidRDefault="00F45587" w:rsidP="00F45587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F45587" w:rsidRPr="005A296A" w:rsidRDefault="00F45587" w:rsidP="00F45587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  <w:r w:rsidRPr="005A296A">
        <w:rPr>
          <w:rFonts w:ascii="Palatino Linotype" w:hAnsi="Palatino Linotype"/>
        </w:rPr>
        <w:t xml:space="preserve"> </w:t>
      </w:r>
    </w:p>
    <w:p w:rsidR="00F45587" w:rsidRPr="005A296A" w:rsidRDefault="00F45587" w:rsidP="00F45587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­та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«Дар бораи 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алла ва 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сулоти коркарди он»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F45587" w:rsidRPr="005A296A" w:rsidRDefault="00F45587" w:rsidP="00F45587">
      <w:pPr>
        <w:pStyle w:val="a3"/>
        <w:rPr>
          <w:rFonts w:ascii="Palatino Linotype" w:hAnsi="Palatino Linotype"/>
        </w:rPr>
      </w:pPr>
    </w:p>
    <w:p w:rsidR="00F45587" w:rsidRPr="005A296A" w:rsidRDefault="00F45587" w:rsidP="00F45587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</w:t>
      </w:r>
    </w:p>
    <w:p w:rsidR="00F45587" w:rsidRPr="005A296A" w:rsidRDefault="00F45587" w:rsidP="00F45587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урии </w:t>
      </w:r>
      <w:proofErr w:type="gramStart"/>
      <w:r w:rsidRPr="005A296A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 </w:t>
      </w:r>
      <w:r w:rsidRPr="005A296A">
        <w:rPr>
          <w:rFonts w:ascii="Palatino Linotype" w:hAnsi="Palatino Linotype"/>
          <w:b/>
          <w:bCs/>
        </w:rPr>
        <w:tab/>
      </w:r>
      <w:proofErr w:type="gramEnd"/>
      <w:r w:rsidRPr="005A296A">
        <w:rPr>
          <w:rFonts w:ascii="Palatino Linotype" w:hAnsi="Palatino Linotype"/>
          <w:b/>
          <w:bCs/>
        </w:rPr>
        <w:t xml:space="preserve">             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F45587" w:rsidRPr="005A296A" w:rsidRDefault="00F45587" w:rsidP="00F45587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5 ноябри соли 2024, №539</w:t>
      </w:r>
    </w:p>
    <w:p w:rsidR="00F45587" w:rsidRPr="005A296A" w:rsidRDefault="00F45587" w:rsidP="00F45587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F45587" w:rsidRPr="005A296A" w:rsidRDefault="00F45587" w:rsidP="00F45587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F45587" w:rsidRPr="005A296A" w:rsidRDefault="00F45587" w:rsidP="00F45587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F45587" w:rsidRPr="005A296A" w:rsidRDefault="00F45587" w:rsidP="00F45587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F45587" w:rsidRPr="005A296A" w:rsidRDefault="00F45587" w:rsidP="00F45587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F45587" w:rsidRPr="005A296A" w:rsidRDefault="00F45587" w:rsidP="00F45587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«Дар бораи 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алла ва ма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сулоти коркарди он»</w:t>
      </w:r>
    </w:p>
    <w:p w:rsidR="00F45587" w:rsidRPr="005A296A" w:rsidRDefault="00F45587" w:rsidP="00F45587">
      <w:pPr>
        <w:pStyle w:val="a3"/>
        <w:rPr>
          <w:rFonts w:ascii="Palatino Linotype" w:hAnsi="Palatino Linotype"/>
        </w:rPr>
      </w:pPr>
    </w:p>
    <w:p w:rsidR="00F45587" w:rsidRPr="005A296A" w:rsidRDefault="00F45587" w:rsidP="00F45587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F45587" w:rsidRPr="005A296A" w:rsidRDefault="00F45587" w:rsidP="00F45587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­та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«Дар бораи 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алла ва 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сулоти коркарди он»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карда шавад.</w:t>
      </w:r>
    </w:p>
    <w:p w:rsidR="00F45587" w:rsidRPr="005A296A" w:rsidRDefault="00F45587" w:rsidP="00F45587">
      <w:pPr>
        <w:pStyle w:val="a3"/>
        <w:rPr>
          <w:rFonts w:ascii="Palatino Linotype" w:hAnsi="Palatino Linotype"/>
        </w:rPr>
      </w:pPr>
    </w:p>
    <w:p w:rsidR="00F45587" w:rsidRPr="005A296A" w:rsidRDefault="00F45587" w:rsidP="00F45587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намояндагони </w:t>
      </w:r>
    </w:p>
    <w:p w:rsidR="00F45587" w:rsidRDefault="00F45587" w:rsidP="00F45587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 xml:space="preserve">     М. </w:t>
      </w:r>
      <w:r w:rsidRPr="005A296A">
        <w:rPr>
          <w:rFonts w:ascii="Palatino Linotype" w:hAnsi="Palatino Linotype"/>
          <w:b/>
          <w:bCs/>
          <w:caps/>
        </w:rPr>
        <w:t>Зокирзода</w:t>
      </w:r>
    </w:p>
    <w:p w:rsidR="00CA4894" w:rsidRDefault="00F45587" w:rsidP="00F45587">
      <w:pPr>
        <w:pStyle w:val="a3"/>
        <w:ind w:firstLine="0"/>
      </w:pPr>
      <w:r w:rsidRPr="005A296A">
        <w:rPr>
          <w:rFonts w:ascii="Palatino Linotype" w:hAnsi="Palatino Linotype"/>
          <w:b/>
          <w:bCs/>
        </w:rPr>
        <w:t>ш. Душанбе, 12 июни соли 2024, №1369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87"/>
    <w:rsid w:val="00CA4894"/>
    <w:rsid w:val="00F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E9EF"/>
  <w15:chartTrackingRefBased/>
  <w15:docId w15:val="{94141C05-DA58-43F8-8164-9CB6060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45587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F45587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F45587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2024-11-18T09:39:00Z</dcterms:created>
  <dcterms:modified xsi:type="dcterms:W3CDTF">2024-11-18T09:40:00Z</dcterms:modified>
</cp:coreProperties>
</file>