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E" w:rsidRPr="00366C3E" w:rsidRDefault="00366C3E" w:rsidP="00366C3E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66C3E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366C3E" w:rsidRDefault="00AC300A" w:rsidP="00366C3E">
      <w:pPr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366C3E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«ДАР БОРАИ ФАРМОИШИ ДАВЛАТИИ МУДОФИАВ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>»</w:t>
      </w:r>
    </w:p>
    <w:p w:rsidR="00366C3E" w:rsidRPr="00366C3E" w:rsidRDefault="00366C3E" w:rsidP="00366C3E">
      <w:pPr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366C3E" w:rsidRPr="00366C3E" w:rsidRDefault="00366C3E" w:rsidP="00366C3E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366C3E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366C3E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66C3E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66C3E" w:rsidRPr="00366C3E" w:rsidRDefault="00366C3E" w:rsidP="00366C3E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366C3E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мудофиав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366C3E">
        <w:rPr>
          <w:rFonts w:ascii="Palatino Linotype" w:hAnsi="Palatino Linotype"/>
          <w:b/>
          <w:bCs/>
          <w:sz w:val="20"/>
          <w:szCs w:val="20"/>
        </w:rPr>
        <w:t>»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66C3E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мудофиав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икистон              А. МИРАЛИЕВ</w:t>
      </w:r>
    </w:p>
    <w:p w:rsidR="00366C3E" w:rsidRPr="00366C3E" w:rsidRDefault="00366C3E" w:rsidP="00366C3E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>. Душанбе, 7 ноябри соли 2014 № 1650</w:t>
      </w:r>
    </w:p>
    <w:p w:rsidR="00366C3E" w:rsidRPr="00366C3E" w:rsidRDefault="00366C3E" w:rsidP="00366C3E">
      <w:pPr>
        <w:rPr>
          <w:rFonts w:ascii="Palatino Linotype" w:hAnsi="Palatino Linotype"/>
          <w:sz w:val="20"/>
          <w:szCs w:val="20"/>
        </w:rPr>
      </w:pPr>
    </w:p>
    <w:p w:rsidR="00366C3E" w:rsidRDefault="00366C3E" w:rsidP="00366C3E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66C3E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366C3E" w:rsidRPr="00366C3E" w:rsidRDefault="00366C3E" w:rsidP="00366C3E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366C3E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366C3E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66C3E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66C3E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66C3E" w:rsidRPr="00366C3E" w:rsidRDefault="00366C3E" w:rsidP="00366C3E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366C3E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мудофиав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366C3E">
        <w:rPr>
          <w:rFonts w:ascii="Palatino Linotype" w:hAnsi="Palatino Linotype"/>
          <w:b/>
          <w:bCs/>
          <w:sz w:val="20"/>
          <w:szCs w:val="20"/>
        </w:rPr>
        <w:t>»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66C3E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мудофиав</w:t>
      </w:r>
      <w:r>
        <w:rPr>
          <w:rFonts w:ascii="Palatino Linotype" w:hAnsi="Palatino Linotype"/>
          <w:sz w:val="20"/>
          <w:szCs w:val="20"/>
        </w:rPr>
        <w:t>ӣ</w:t>
      </w:r>
      <w:proofErr w:type="gramStart"/>
      <w:r w:rsidRPr="00366C3E">
        <w:rPr>
          <w:rFonts w:ascii="Palatino Linotype" w:hAnsi="Palatino Linotype"/>
          <w:sz w:val="20"/>
          <w:szCs w:val="20"/>
        </w:rPr>
        <w:t>»-</w:t>
      </w:r>
      <w:proofErr w:type="gramEnd"/>
      <w:r w:rsidRPr="00366C3E">
        <w:rPr>
          <w:rFonts w:ascii="Palatino Linotype" w:hAnsi="Palatino Linotype"/>
          <w:sz w:val="20"/>
          <w:szCs w:val="20"/>
        </w:rPr>
        <w:t>ро  баррас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66C3E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мудофиав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            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366C3E" w:rsidRPr="00366C3E" w:rsidRDefault="00366C3E" w:rsidP="00366C3E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  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икистон       М. УБАЙДУЛЛОЕВ</w:t>
      </w:r>
    </w:p>
    <w:p w:rsidR="00366C3E" w:rsidRPr="00366C3E" w:rsidRDefault="00366C3E" w:rsidP="00366C3E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>. Душанбе, 20 ноябри соли 2014 №741</w:t>
      </w:r>
    </w:p>
    <w:p w:rsidR="00366C3E" w:rsidRPr="00366C3E" w:rsidRDefault="00366C3E" w:rsidP="00366C3E">
      <w:pPr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366C3E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аз 11 декабри соли 1999 «Дар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мудофиав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>» (</w:t>
      </w:r>
      <w:proofErr w:type="spellStart"/>
      <w:r w:rsidRPr="00366C3E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икистон, с.1999, №12, мод.337; с.2004, №7, мод.462; с. 2007, №5, мод.358) та</w:t>
      </w:r>
      <w:r>
        <w:rPr>
          <w:rFonts w:ascii="Palatino Linotype" w:hAnsi="Palatino Linotype"/>
          <w:sz w:val="20"/>
          <w:szCs w:val="20"/>
        </w:rPr>
        <w:t>ғ</w:t>
      </w:r>
      <w:r w:rsidRPr="00366C3E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зерин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366C3E">
        <w:rPr>
          <w:rFonts w:ascii="Palatino Linotype" w:hAnsi="Palatino Linotype"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1. Ба му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аддимаи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 пас аз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«муносибат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амъиятии»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илова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2. 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2: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-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номи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дар та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зайл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ифода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>«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2. Маф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ои асос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366C3E">
        <w:rPr>
          <w:rFonts w:ascii="Palatino Linotype" w:hAnsi="Palatino Linotype"/>
          <w:b/>
          <w:bCs/>
          <w:sz w:val="20"/>
          <w:szCs w:val="20"/>
        </w:rPr>
        <w:t>»;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-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якум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дар та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зайл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ифода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«Дар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маф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асосии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зерин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истифода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мешаванд</w:t>
      </w:r>
      <w:proofErr w:type="spellEnd"/>
      <w:proofErr w:type="gramStart"/>
      <w:r w:rsidRPr="00366C3E">
        <w:rPr>
          <w:rFonts w:ascii="Palatino Linotype" w:hAnsi="Palatino Linotype"/>
          <w:sz w:val="20"/>
          <w:szCs w:val="20"/>
        </w:rPr>
        <w:t>:»</w:t>
      </w:r>
      <w:proofErr w:type="gramEnd"/>
      <w:r w:rsidRPr="00366C3E">
        <w:rPr>
          <w:rFonts w:ascii="Palatino Linotype" w:hAnsi="Palatino Linotype"/>
          <w:sz w:val="20"/>
          <w:szCs w:val="20"/>
        </w:rPr>
        <w:t>;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- 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якум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«яро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и»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«сило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и»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иваз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;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- 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дуюм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калима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ои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Раёсати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кор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ои исло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ии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адлияи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махсуси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назди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366C3E">
        <w:rPr>
          <w:rFonts w:ascii="Palatino Linotype" w:hAnsi="Palatino Linotype"/>
          <w:sz w:val="20"/>
          <w:szCs w:val="20"/>
        </w:rPr>
        <w:t>рушди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и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тисод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савдои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икистон» ба калима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ои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Сарраёсати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и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рои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азои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иноятии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адлияи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таъминоти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махсуси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назди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укумати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иваз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366C3E">
        <w:rPr>
          <w:rFonts w:ascii="Palatino Linotype" w:hAnsi="Palatino Linotype"/>
          <w:sz w:val="20"/>
          <w:szCs w:val="20"/>
        </w:rPr>
        <w:t>;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- дар сархат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сеюм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чорум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калима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ои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энергетика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саноати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икистон» ба калима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ои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саноат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технология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нави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иваз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366C3E">
        <w:rPr>
          <w:rFonts w:ascii="Palatino Linotype" w:hAnsi="Palatino Linotype"/>
          <w:sz w:val="20"/>
          <w:szCs w:val="20"/>
        </w:rPr>
        <w:t>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3.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Матни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3 дар та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зайл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ифода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«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онунгузории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мудофиав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Конститутсияи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(Сар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онуни)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асос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ёфта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, аз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дигар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санад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меъёрии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инчунин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санад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байналмилалие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он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оро </w:t>
      </w:r>
      <w:proofErr w:type="spellStart"/>
      <w:r w:rsidRPr="00366C3E">
        <w:rPr>
          <w:rFonts w:ascii="Palatino Linotype" w:hAnsi="Palatino Linotype"/>
          <w:sz w:val="20"/>
          <w:szCs w:val="20"/>
        </w:rPr>
        <w:t>эътироф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намудааст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иборат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мебошад</w:t>
      </w:r>
      <w:proofErr w:type="spellEnd"/>
      <w:r w:rsidRPr="00366C3E">
        <w:rPr>
          <w:rFonts w:ascii="Palatino Linotype" w:hAnsi="Palatino Linotype"/>
          <w:sz w:val="20"/>
          <w:szCs w:val="20"/>
        </w:rPr>
        <w:t>.».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 xml:space="preserve">4. Дар банди 5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якуми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4 </w:t>
      </w:r>
      <w:proofErr w:type="spellStart"/>
      <w:r w:rsidRPr="00366C3E">
        <w:rPr>
          <w:rFonts w:ascii="Palatino Linotype" w:hAnsi="Palatino Linotype"/>
          <w:sz w:val="20"/>
          <w:szCs w:val="20"/>
        </w:rPr>
        <w:t>ва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чоруми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якуми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5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«байналхал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ие» ба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байналмилалие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иваз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lastRenderedPageBreak/>
        <w:t xml:space="preserve">5.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исми  </w:t>
      </w:r>
      <w:proofErr w:type="spellStart"/>
      <w:r w:rsidRPr="00366C3E">
        <w:rPr>
          <w:rFonts w:ascii="Palatino Linotype" w:hAnsi="Palatino Linotype"/>
          <w:sz w:val="20"/>
          <w:szCs w:val="20"/>
        </w:rPr>
        <w:t>сеюми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5 дар та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зайл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ифода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>: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66C3E">
        <w:rPr>
          <w:rFonts w:ascii="Palatino Linotype" w:hAnsi="Palatino Linotype"/>
          <w:sz w:val="20"/>
          <w:szCs w:val="20"/>
        </w:rPr>
        <w:t>«Нишонди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анда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асосии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фармоиши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мудофиавиро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Президенти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баробари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аз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ониби 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укумати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ба 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Олии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икистон пешни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од </w:t>
      </w:r>
      <w:proofErr w:type="spellStart"/>
      <w:r w:rsidRPr="00366C3E">
        <w:rPr>
          <w:rFonts w:ascii="Palatino Linotype" w:hAnsi="Palatino Linotype"/>
          <w:sz w:val="20"/>
          <w:szCs w:val="20"/>
        </w:rPr>
        <w:t>гардидани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лои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 xml:space="preserve">аи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66C3E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 xml:space="preserve">икистон дар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бу</w:t>
      </w:r>
      <w:r>
        <w:rPr>
          <w:rFonts w:ascii="Palatino Linotype" w:hAnsi="Palatino Linotype"/>
          <w:sz w:val="20"/>
          <w:szCs w:val="20"/>
        </w:rPr>
        <w:t>ҷ</w:t>
      </w:r>
      <w:r w:rsidRPr="00366C3E">
        <w:rPr>
          <w:rFonts w:ascii="Palatino Linotype" w:hAnsi="Palatino Linotype"/>
          <w:sz w:val="20"/>
          <w:szCs w:val="20"/>
        </w:rPr>
        <w:t>ети давлат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барои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 соли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навбатии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молияв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тасди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менамояд</w:t>
      </w:r>
      <w:proofErr w:type="spellEnd"/>
      <w:r w:rsidRPr="00366C3E">
        <w:rPr>
          <w:rFonts w:ascii="Palatino Linotype" w:hAnsi="Palatino Linotype"/>
          <w:sz w:val="20"/>
          <w:szCs w:val="20"/>
        </w:rPr>
        <w:t>.».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366C3E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амал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366C3E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366C3E">
        <w:rPr>
          <w:rFonts w:ascii="Palatino Linotype" w:hAnsi="Palatino Linotype"/>
          <w:sz w:val="20"/>
          <w:szCs w:val="20"/>
        </w:rPr>
        <w:t>дода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66C3E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66C3E">
        <w:rPr>
          <w:rFonts w:ascii="Palatino Linotype" w:hAnsi="Palatino Linotype"/>
          <w:sz w:val="20"/>
          <w:szCs w:val="20"/>
        </w:rPr>
        <w:t xml:space="preserve">. </w:t>
      </w: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66C3E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</w:p>
    <w:p w:rsidR="00366C3E" w:rsidRPr="00366C3E" w:rsidRDefault="00366C3E" w:rsidP="00366C3E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66C3E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66C3E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66C3E">
        <w:rPr>
          <w:rFonts w:ascii="Palatino Linotype" w:hAnsi="Palatino Linotype"/>
          <w:b/>
          <w:bCs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366C3E">
        <w:rPr>
          <w:rFonts w:ascii="Palatino Linotype" w:hAnsi="Palatino Linotype"/>
          <w:b/>
          <w:bCs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66C3E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366C3E" w:rsidRPr="00366C3E" w:rsidRDefault="00366C3E" w:rsidP="00366C3E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366C3E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66C3E">
        <w:rPr>
          <w:rFonts w:ascii="Palatino Linotype" w:hAnsi="Palatino Linotype"/>
          <w:b/>
          <w:bCs/>
          <w:sz w:val="20"/>
          <w:szCs w:val="20"/>
        </w:rPr>
        <w:t>. Душанбе, 27 ноябри соли 2014 №1150</w:t>
      </w:r>
    </w:p>
    <w:p w:rsidR="00366C3E" w:rsidRPr="00366C3E" w:rsidRDefault="00366C3E" w:rsidP="00366C3E">
      <w:pPr>
        <w:rPr>
          <w:rFonts w:ascii="Palatino Linotype" w:hAnsi="Palatino Linotype"/>
          <w:sz w:val="20"/>
          <w:szCs w:val="20"/>
        </w:rPr>
      </w:pPr>
    </w:p>
    <w:sectPr w:rsidR="00366C3E" w:rsidRPr="00366C3E" w:rsidSect="00310B4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6C3E"/>
    <w:rsid w:val="00366C3E"/>
    <w:rsid w:val="00AC300A"/>
    <w:rsid w:val="00D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66C3E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66C3E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66C3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2014-12-03T07:59:00Z</dcterms:created>
  <dcterms:modified xsi:type="dcterms:W3CDTF">2014-12-03T08:00:00Z</dcterms:modified>
</cp:coreProperties>
</file>