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32" w:rsidRDefault="000D60B4" w:rsidP="000D60B4">
      <w:pPr>
        <w:pStyle w:val="a7"/>
        <w:jc w:val="center"/>
        <w:rPr>
          <w:caps w:val="0"/>
          <w:sz w:val="84"/>
          <w:szCs w:val="84"/>
          <w:lang w:val="tg-Cyrl-TJ"/>
        </w:rPr>
      </w:pPr>
      <w:r>
        <w:rPr>
          <w:caps w:val="0"/>
          <w:sz w:val="84"/>
          <w:szCs w:val="84"/>
        </w:rPr>
        <w:t>Қонуни Ҷумҳурии Тоҷикистон</w:t>
      </w:r>
      <w:r>
        <w:rPr>
          <w:caps w:val="0"/>
          <w:sz w:val="84"/>
          <w:szCs w:val="84"/>
          <w:lang w:val="tg-Cyrl-TJ"/>
        </w:rPr>
        <w:t xml:space="preserve"> </w:t>
      </w:r>
    </w:p>
    <w:p w:rsidR="000D60B4" w:rsidRPr="000D60B4" w:rsidRDefault="000D60B4" w:rsidP="000D60B4">
      <w:pPr>
        <w:pStyle w:val="a7"/>
        <w:jc w:val="center"/>
        <w:rPr>
          <w:sz w:val="84"/>
          <w:szCs w:val="84"/>
        </w:rPr>
      </w:pPr>
      <w:r w:rsidRPr="00590630">
        <w:rPr>
          <w:rFonts w:ascii="Arial Tj  Bold" w:hAnsi="Arial Tj  Bold" w:cs="Arial Tj  Bold"/>
          <w:b w:val="0"/>
          <w:bCs w:val="0"/>
          <w:caps w:val="0"/>
          <w:sz w:val="26"/>
          <w:szCs w:val="26"/>
        </w:rPr>
        <w:t>Дар бораи сиёсати давлат</w:t>
      </w:r>
      <w:r>
        <w:rPr>
          <w:rFonts w:ascii="Arial Tj  Bold" w:hAnsi="Arial Tj  Bold" w:cs="Arial Tj  Bold"/>
          <w:b w:val="0"/>
          <w:bCs w:val="0"/>
          <w:caps w:val="0"/>
          <w:sz w:val="26"/>
          <w:szCs w:val="26"/>
        </w:rPr>
        <w:t>ӣ</w:t>
      </w:r>
      <w:r w:rsidRPr="00590630">
        <w:rPr>
          <w:rFonts w:ascii="Arial Tj  Bold" w:hAnsi="Arial Tj  Bold" w:cs="Arial Tj  Bold"/>
          <w:b w:val="0"/>
          <w:bCs w:val="0"/>
          <w:caps w:val="0"/>
          <w:sz w:val="26"/>
          <w:szCs w:val="26"/>
        </w:rPr>
        <w:t xml:space="preserve"> дар со</w:t>
      </w:r>
      <w:r>
        <w:rPr>
          <w:rFonts w:ascii="Arial Tj  Bold" w:hAnsi="Arial Tj  Bold" w:cs="Arial Tj  Bold"/>
          <w:b w:val="0"/>
          <w:bCs w:val="0"/>
          <w:caps w:val="0"/>
          <w:sz w:val="26"/>
          <w:szCs w:val="26"/>
        </w:rPr>
        <w:t>ҳ</w:t>
      </w:r>
      <w:r w:rsidRPr="00590630">
        <w:rPr>
          <w:rFonts w:ascii="Arial Tj  Bold" w:hAnsi="Arial Tj  Bold" w:cs="Arial Tj  Bold"/>
          <w:b w:val="0"/>
          <w:bCs w:val="0"/>
          <w:caps w:val="0"/>
          <w:sz w:val="26"/>
          <w:szCs w:val="26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онуни мазкур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сад, вазифа ва принсип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асосии 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, хусусият ва механизм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амал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намудани дастгирии давлатии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саноатро му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аррар намуда, ба ташаккул ва устувор намудани и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тидори саноатии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икистон равона гардидааст.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БОБИ 1. МУ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АРРАРОТИ УМУМ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1. Маф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асос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Дар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онуни мазкур маф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асосии зерин истифода мешаванд: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–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таъсиррасонии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ки ба рушди мутаносиб ва устувори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тидор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таъмини пешрафти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саноатии 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обатпазир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анигардонии бозори истеъмол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равона шудаанд;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- саноат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–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тисодиёти милл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ки ба рушди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увва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солкунанда таъсири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алкунанда мерасонад;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аи саноат –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намуд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ба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дахл доранд;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– шахсони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ибкорони инфирод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фаъолиятро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менамоянд;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исте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солоти саноат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–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солоте, ки дар рафти он ашёи хом, масоле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асос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ё нимтайёр бо истифодаи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изоти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тайёр мубаддал мегардад;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сулоти саноат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– мол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ое, ки дар нати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амалисозии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 мешаванд;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инфрасохтори саноат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–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объект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молумулкии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айриман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ул (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итъа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замин, бино, иншоот), шабака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(бар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газта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симкун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гармиди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обтаъминкун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корез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лиёт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ало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бар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), ки барои амалисозии фаъолияти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заруранд;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итти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одияи (ассотсиатсияи)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– ташкилот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айрити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оратие, ки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ониби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бо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сади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ангсозии фаъолияти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 таъсис дода шуда,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манфиат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онунии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оро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имоя мекунанд;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Ш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рои миллии назди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икистон оид ба рушди саноат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–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оми машваратию масли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бо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сади мусоидат ба амалисозии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таъсис дода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Моддаи 2.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икистон дар бораи 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дар бораи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 ба Конститутсияи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асос ёфта,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онуни мазкур, дигар санад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меъёрии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икистон, инчунин санад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ии байналмилалие, ки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оро эътироф намудааст, иборат мебошад.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3.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сад ва вазифа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1.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аз ин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иборат аст: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рушди босубот ва инноватсионии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афзунгардон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таъмини 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обатпазирии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тисодиёти милл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дар асоси он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 намудани вазифа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тимоии давлат, таъмини амнияти милл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гузариши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тисодиёти кишвар аз шакли тавлидкунандаи ашёи хом ба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солкунандаи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ба шу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ли 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ташкили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ой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нави кор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Вазифа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аз ин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иборатанд: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таъсис ва рушди инфрасохтори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фаро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 овардани шароити баробар ва 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обатпазир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афзун гардондани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сулоте, ки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иссаи калони арзиши изофа дорад ва дастгир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содироти чунин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сулот;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авасмандгардонии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нати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фаъолияти зе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технология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илмбор, воридотивазкунанда, манбаъсарфакунанда ва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ихати эколог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бехатар, азнавкунии техникии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тидор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lastRenderedPageBreak/>
        <w:t>- таъмини бехатарии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дастгирии истифодаи 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илона ва самараноки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тидор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биои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лимии кишвар, захира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гидроэнергетик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сарчашма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алтернативии энергия, захира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таби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нат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намудан ба рушди минта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озоди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савдои наздисар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ташкили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маа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марказ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инжиниринг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парк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марказ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хурди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бюрои конструкторию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коркард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илмию тад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конструкторию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рибав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намудан ба азнавсозии тар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диверсификатсия ва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диди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 бо назардошти номг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йи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солшаванда ва талаботи бозор.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4. Принсип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асосии 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Принсип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асосии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ин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мебошанд: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волоияти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онун ва шаффофияти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бартарии шарикии давлат ва бахши хусус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пешг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мониторинг, назорат,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ангсоз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дастгирии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азнавкунии</w:t>
      </w:r>
      <w:r w:rsidRPr="00590630">
        <w:rPr>
          <w:rFonts w:ascii="Arial Tj  Italic" w:hAnsi="Arial Tj  Italic" w:cs="Arial Tj  Italic"/>
          <w:i/>
          <w:i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сарива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тии</w:t>
      </w:r>
      <w:r w:rsidRPr="00590630">
        <w:rPr>
          <w:rFonts w:ascii="Arial Tj  Italic" w:hAnsi="Arial Tj  Italic" w:cs="Arial Tj  Italic"/>
          <w:i/>
          <w:i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вобастагии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ноил шудан ба нишонди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адаф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мувофи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атии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ташкил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илм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амгиро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обатпазирии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тамоюл ба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рои фармоиш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кими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солоти ивазкунандаи воридот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ба содирот нигаронидашуда.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5. Мониторинги вазъи амалисозии 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1. Мониторинги вазъи амалисозии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саноатро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оми ваколатдори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 меди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Барои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мониторинги вазъи амалисозии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метавонанд бо тартиби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аррарнамудаи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итти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одияи (ассотсиатсияи)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итти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амъиятии дигар ва муассиса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илмию тад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алб карда шаванд.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3. Иттилоотонии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шахсони во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оид ба нати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мониторинги вазъи амалисозии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саноатро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оми ваколатдори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тавассути системаи ягонаи давлатии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маълумот дар бораи вазъи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гуногуни саноат ва пешг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ии рушди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оро дар бар мегирад,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месозад.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6. Сало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ияти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икистон оид ба сиёсати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Сало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ияти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оид ба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аз ин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иборат аст: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 ва тасди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дурнамо, консепсия, стратегия ва барнома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барномаи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воридотивазкунанда ва содиротшаванда;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муайян намудани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афзалиятноки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муайян намудани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оми ваколатдори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ваколат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дигари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оид ба амалисозии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тасди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тартиби ташкил ва таъмини фаъолияти системаи ягонаи давлатии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 намудани тартиби ташаккул ва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сармоягузор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оид ба дастгирии молиявии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 намудани талабот ва нишонди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(индикатор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о) нисбати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авасмандгардонии пешбининамудаи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икистон;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фаро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 овардани шароити зарур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алби сармоягузории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хори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 намудани механизм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тисодии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авасмандгардонии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солкунандагон;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дастгирии молияв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молумулкии ­субъект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аи саноат, аз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умла ташкилот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ое, ки су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уртаи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арз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содирот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сармоягузориро аз таваккал амал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месозанд;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содагардонии расмиёти фаъолияти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тисоди беруна тиб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ба таъсиси корхона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муштарак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амгироии саноати кишвар ба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тисодиёти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аррар намудани тартиби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ойгиркунии фармоиши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саноатии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муайян намудани самт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асосии рушди инфрасохтори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равия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афзалиятноки тад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оти илмию техник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инноватсион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сало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ияти дигар вобаста ба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тиб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7. Ваколат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оми ваколатдори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Ба ваколат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оми ваколатдори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мансубанд: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lastRenderedPageBreak/>
        <w:t>-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сиёсати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ангсозии фаъолияти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дахлдори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роияи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аллии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окимияти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худидоракунии ша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рак ва де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 дар ин самт;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таъмини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рои дурнамо, консепсия, стратегия ва барнома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барномаи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воридотивазкунанда ва содиротшаванда;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 ва таъмини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рои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ва 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лил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амъбасти нишонди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нишонди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 оид ба вазъи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инъикос намудани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 дар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исоботи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арсолае, ки ба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 мегардад;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ташкил ва таъмини фаъолияти системаи ягонаи давлатии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омодасоз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чопи маър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заи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арсола дар восита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ахбори омма оид ба вазъ ва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ва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оди номзадии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ба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дахлдор барои дастгирии молиявии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амалигардонии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дигари дастгирии давлатии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амалисозии вазифа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фармоишгари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дастгирии таъсиси инфрасохтори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бо тартиби муайяннамудаи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икистон;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бо тартиби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арраргардида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 ва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барнома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алби сармоя ба саноат, диверсификатсия ва махсусгардонии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мусоидат ба рушди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амкории байналмилал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фаъолияти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тисодии берунаи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ба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ватании босифати 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обатпазир ва пешбурди он дар бозори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ваколат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мутоби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8. Ваколат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омоти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аллии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окимияти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,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омоти худидоракунии ша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рак ва де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1. Ваколат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аллии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окимияти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аз ин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иборатанд: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 ва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барнома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аллии рушди саноат ва инфрасохтори он;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дастгирии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ва фаро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 овардани шароити зарур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фаъолияти устувори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 намудани маълумот ба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оид ба захира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нат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талабот ба ташкили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ой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нави кор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бо тартиби пешбининамудаи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мусоидат намудан ба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алби сармоягузор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таъсиси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 ва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инчунин фур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ши мол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саноатии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назорат ба фаъолияти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марказ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инжиниринг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парк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марказ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хурди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бюрои конструкторию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инфрасохтори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истифодаи босамари захира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таби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ме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нат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ифзи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ити зист тиб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талаботи санад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меъёрии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амалисозии ваколат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мутоби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худидоракунии ша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рак ва де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от дар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удуди дахлдор мутоби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корхона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коммунал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корхона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дигари саноатиро таъсис меди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анд, ба э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ё ва рушди саноати хурд,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умла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олинбоф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адрасбоф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зандаг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зард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косиб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намуд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дигари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унар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хал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мусоидат менамоянд.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9. Ш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рои миллии назди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икистон оид ба рушди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1. 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рои миллии назди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оид ба рушди саноат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ониби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таъсис дода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рои миллии назди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оид ба рушди саноат вазифа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зеринро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менамояд: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оид ба масъала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 ба Президенти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ва дигар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омоти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тавсияю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оро омода месозад;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ба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исобгир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лил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амъбасти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саноатро оид ба масъала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менамояд;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маълумот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оро оид ба вазъи саноат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лил мекунад,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оду тавсия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оро оид ба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абули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зарур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ша,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а, барнома, консепсия, дурнамо, барнома ва пешг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рушди саноатро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 менамояд;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lastRenderedPageBreak/>
        <w:t>- номзадии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саноатро, ки барои гирифтани кумаки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ониби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оми ваколатдори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од шудаанд,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аблан баррас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менамояд ва оид ба мувофи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ати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ба талабот ва индикатор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арраршуда хулоса меди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ад.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3. Тартиби ташкил ва фаъолияти 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рои миллии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назди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укумати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оид ба рушди саноат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айати он тиб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Низомномаи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ониби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тасди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шуда муайян карда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</w:p>
    <w:p w:rsidR="000D60B4" w:rsidRPr="00590630" w:rsidRDefault="000D60B4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БОБИ 2.</w:t>
      </w:r>
    </w:p>
    <w:p w:rsidR="000D60B4" w:rsidRPr="00590630" w:rsidRDefault="000D60B4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ДАСТГИРИИ ДАВЛАТИИ ­СУБЪЕКТ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10. Дастгирии давлатии ­субъект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1. Дастгирии давлатии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бо 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зерин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мегардад: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мабла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гузор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шакли грант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о, мусоидати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кумаки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бо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сади таъсис ва рушди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инфрасохтори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 ва азхудкунии технологияву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тидор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нав ва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содиротшаванда;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оди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тари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Фонди рушди саноати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ё фонд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садноки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доираи фармоиши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додани афзалият ба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саноатии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сулотсупорандагон ва пудратчиёни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барои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сармоягузор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ба сохтмони иншооти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ё азнавта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изонии техникии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равона шудаанд;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расондани кумаки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машварат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оид ба имконият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дар доираи шартнома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байналмилалии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мусоидат намудан барои ба 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мондани робита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бо доира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оратии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хори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дастгирии фаъолияти илмию техник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инноватсионии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дигари дастгир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санад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меъёрии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 намудаанд.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2. Дастгирии давлатии дар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исми 1 моддаи мазкур пешбинигардида бо тартиби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аррарнамудаи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гардонида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11. Хусусият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амалисозии дастгирии молиявии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ангоми амалисозии дастгирии молиявии субъект</w:t>
      </w: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аи саноат илова ба талаботи му</w:t>
      </w: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арраршуда ва индикатор</w:t>
      </w: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о хусусият</w:t>
      </w: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 xml:space="preserve">ои зерин ба </w:t>
      </w:r>
      <w:r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4"/>
          <w:sz w:val="18"/>
          <w:szCs w:val="18"/>
          <w:lang w:val="ru-RU"/>
        </w:rPr>
        <w:t>исоб гирифта мешаванд: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мав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уд будани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оид ба азхудкунии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 ва технология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нав,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инноватсион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инчунин меъёр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ое, ки истифодаи самаранок ва 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илонаи захира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о,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оид ба афзун намудани бехатарии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экологиро дар назар доранд;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оди маълумот оид ба истифодаи самараноки восита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назорати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атмии истифодаи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садноки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шарт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бозпас гардонидани мабла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дастгирии молияв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(ба истиснои грант),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умла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ангоми ноил нашудан ба нишонди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ки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ангоми пешни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аррар гардида буданд.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Моддаи 12. Фонди рушди саноати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икистон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1. Фонди рушди саноати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ва оинномаи он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ониби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таъсис ва тасди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карда мешаванд. Тартиби амалишавии дастгирии молиявии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саноатро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муайян менамояд.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сади асосии фонд дастгирии молиявии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барои амалисозии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мебошад.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3. Молу мулк ва дорои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дигари фонд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исоби пардохт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молумулкии муассис, пардохт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хайриявии ихтиёрии шахсони во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инчунин сарчашма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дигаре, ки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манъ накардааст, ташаккул меёбанд.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4. 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рои парасторони фонд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ониби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бо тартиби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аррарнамудаи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таъсис дода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13. Дастгирии давлатии фаъолияти илмию техник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ва инноватсионии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Дастгирии давлатии фаъолияти илмию техник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инноватсионии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бо 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зерин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мегардад: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доираи фармоиши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шаи кор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илмию тад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отии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исоби давлат мабла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гузоришаванда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ой додани супориш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оид ба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рои кор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илмию тад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рибав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конструктор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амалии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дар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рафти амалисозии лои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сармоягузор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пешбин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мабла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гузории кор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илмию тад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рибавию конструктор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lastRenderedPageBreak/>
        <w:t xml:space="preserve">-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авасмандгардонии талабот ба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инноватсион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тари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хариди мол, кор ва хизматрасон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э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тиё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фаро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ам овардани шароити мусоид барои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ангсоз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махсусгардон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кооператсияи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ангоми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фаъолияти илм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илмию техник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инноватсион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авасмандгардонии фаъолият оид ба азхудкун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дар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солот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кардани нати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фаъолияти зе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ки ба раванди афзалиятноки рушди илм, техника ва технология мансубанд.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14. Дастгирии иттилоотиву машваратии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1. Дастгирии иттилоотиву машваратии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бо 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зерин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карда мешавад: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нашр ва пешбурди фе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рист, маълумотнома, бюллетен, махзани маълумот, сомона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дар шабакаи иттилоотию телекоммуникатсионии «Интернет», ки дорои иттилооти 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тисод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солию технолог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иттилооти дигар мебошанд ва барои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заруранд,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иттилоот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маркетинг ва хариду фур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ши са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мия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о;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ташкил ва гузарондани намоиш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о, ярмарка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о, конфронс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ё мусоидат барои гузарондани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-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ойгиронии маводи иттилоотию рекламав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ё мусоидат намудан барои па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нкунии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о, ба истиснои маводи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мудофиаи кишвар ва амнияти давлат.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Бо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сади дастгирии иттилоотию машваратии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саноат, инчунин аз системаи ягонаи давлатии иттилоот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истифода бурда мешавад, ки маълумоти зеринро дар бар мегирад: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бораи вазъи саноат, пешг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ии рушди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он, дар бораи барнома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алл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вазъи амалишавии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бораи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- дар бораи пешг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ии исте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соли намуд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ои асосии ма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сулоти саноат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, исте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соли во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еии он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о, тавсифи ма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сулоти саноат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 xml:space="preserve"> бо назардошти мансубияти со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 xml:space="preserve">авии он, инчунин 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а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ми воридот ва содироти ма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сулоти саноат</w:t>
      </w:r>
      <w:r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9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бораи истифодаи технология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сарфакунандаи захира ва сарчашма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бар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ароршавандаи энергия дар раванди амалисозии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дар бораи нишонди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анда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самаранокии татби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авасмандгардон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ки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исоби Фонди рушди саноати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карда мешаванд;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иттилооти дигар, ки номг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 онро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укумати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муайян мекунад.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15. Дастгирии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аи саноат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ангоми хариди давлатии мол, кор ва хизматрасон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барои э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тиё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оти давлат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1.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ангоми хариди давлатии мол, кор ва хизматрасон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э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тиё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оти давлат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афзалият ба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саноатии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сулотсупорандагон ва пудратчиёни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дода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2. Афзалият ба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сулоти саноатии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сулотсупорандагон ва пудратчиёни ватан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дар мавриди мувофи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ати он ба шартнома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ои байналмилалии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бо тартиби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аррарнамудаи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икистон оид ба хариди давлатии мол, кор ва хизматрасон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таъмин карда мешавад.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Моддаи 16. Дастгирии субъект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аи саноат вобаста ба ом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зиши касб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, такмили ихтисос ва ма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орати касбии кормандон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Дастгирии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вобаста ба ом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зиши касб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такмили ихтисос ва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орати касбии кормандон бо ро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зерин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мегардад: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намудан ба инкишофи заминаи моддии ташкилот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ое, ки ба ом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зиши касб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такмили ихтисос ва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орати касбии кормандони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 маш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уланд;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мусоидат намудан ба тайёр кардани кадр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баландихтисоси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аи саноат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амкории бевоситаи муассиса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таълим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бо корхона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саноат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, аз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умла гузарондани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рибаом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зии исте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солии дониш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ён;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бо иштироки корфармоён ва итти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одия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он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 та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ия намудани барнома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тайёрии касб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бозом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кумаки таълимию методолог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илмию метод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саноат;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- амал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намудани чора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дигари дастгирии субъект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ои фаъолият дар со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аи саноат вобаста ба ом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зиши касб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, такмили ихтисос ва ма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орати касбии кормандон.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БОБИ 3. МУ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АРРАРОТИ ХОТИМАВ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Моддаи 17.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авобгар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 барои риоя накардани талаботи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онуни мазкур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Шахсони во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е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ва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барои риоя накардани талаботи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онуни мазкур бо тартиби му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аррарнамудаи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икистон ба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авобгар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 кашида мешаванд.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lastRenderedPageBreak/>
        <w:t xml:space="preserve">Моддаи 18. Тартиби мавриди амал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 xml:space="preserve">арор додани </w:t>
      </w:r>
      <w:r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5"/>
          <w:sz w:val="18"/>
          <w:szCs w:val="18"/>
          <w:lang w:val="ru-RU"/>
        </w:rPr>
        <w:t>онуни мазкур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 xml:space="preserve">онуни мазкур аз 1 январи соли 2018 мавриди амал </w:t>
      </w:r>
      <w:r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5"/>
          <w:sz w:val="18"/>
          <w:szCs w:val="18"/>
          <w:lang w:val="ru-RU"/>
        </w:rPr>
        <w:t>арор дода 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</w:pP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Президенти 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икистон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ab/>
        <w:t>Эмомал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мон</w:t>
      </w:r>
    </w:p>
    <w:p w:rsidR="000D60B4" w:rsidRDefault="000D60B4" w:rsidP="000D60B4">
      <w:pPr>
        <w:pStyle w:val="a7"/>
        <w:jc w:val="center"/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  <w:t>ш. Душанбе, 30 майи соли 2017, №1415</w:t>
      </w:r>
    </w:p>
    <w:p w:rsidR="000D60B4" w:rsidRPr="00590630" w:rsidRDefault="00377532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 xml:space="preserve">арори </w:t>
      </w:r>
    </w:p>
    <w:p w:rsidR="000D60B4" w:rsidRPr="00590630" w:rsidRDefault="00377532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лиси намояндагони </w:t>
      </w:r>
    </w:p>
    <w:p w:rsidR="000D60B4" w:rsidRDefault="00377532" w:rsidP="000D60B4">
      <w:pPr>
        <w:pStyle w:val="a7"/>
        <w:jc w:val="center"/>
        <w:rPr>
          <w:spacing w:val="-10"/>
          <w:sz w:val="32"/>
          <w:szCs w:val="32"/>
        </w:rPr>
      </w:pPr>
      <w:r w:rsidRPr="00590630">
        <w:rPr>
          <w:caps w:val="0"/>
          <w:spacing w:val="-10"/>
          <w:sz w:val="32"/>
          <w:szCs w:val="32"/>
        </w:rPr>
        <w:t>Ма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 xml:space="preserve">лиси Олии 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ум</w:t>
      </w:r>
      <w:r>
        <w:rPr>
          <w:caps w:val="0"/>
          <w:spacing w:val="-10"/>
          <w:sz w:val="32"/>
          <w:szCs w:val="32"/>
        </w:rPr>
        <w:t>ҳ</w:t>
      </w:r>
      <w:r w:rsidRPr="00590630">
        <w:rPr>
          <w:caps w:val="0"/>
          <w:spacing w:val="-10"/>
          <w:sz w:val="32"/>
          <w:szCs w:val="32"/>
        </w:rPr>
        <w:t>урии То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икистон</w:t>
      </w:r>
    </w:p>
    <w:p w:rsidR="000D60B4" w:rsidRPr="00590630" w:rsidRDefault="000D60B4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Оид ба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абул кардани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«Дар бораи сиёсати давлат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саноат»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Мутоби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моддаи 60 Конститутсияи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 намояндагони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 мекунад: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сиёсати давлат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аи саноат»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абул карда 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намояндагони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Олии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      Ш. ЗУ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УРОВ</w:t>
      </w:r>
    </w:p>
    <w:p w:rsidR="000D60B4" w:rsidRDefault="000D60B4" w:rsidP="000D60B4">
      <w:pPr>
        <w:pStyle w:val="a7"/>
        <w:jc w:val="center"/>
        <w:rPr>
          <w:rFonts w:ascii="Arial Tj  Bold" w:hAnsi="Arial Tj  Bold" w:cs="Arial Tj  Bold"/>
          <w:caps w:val="0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w w:val="100"/>
          <w:sz w:val="18"/>
          <w:szCs w:val="18"/>
        </w:rPr>
        <w:t>ш. Душанбе, 1 феврали соли 2017, № 688</w:t>
      </w:r>
    </w:p>
    <w:p w:rsidR="000D60B4" w:rsidRPr="00590630" w:rsidRDefault="00377532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арори</w:t>
      </w:r>
    </w:p>
    <w:p w:rsidR="00377532" w:rsidRDefault="00377532" w:rsidP="000D60B4">
      <w:pPr>
        <w:pStyle w:val="a7"/>
        <w:jc w:val="center"/>
        <w:rPr>
          <w:sz w:val="32"/>
          <w:szCs w:val="32"/>
        </w:rPr>
      </w:pPr>
      <w:r w:rsidRPr="00590630">
        <w:rPr>
          <w:caps w:val="0"/>
          <w:sz w:val="32"/>
          <w:szCs w:val="32"/>
        </w:rPr>
        <w:t>Ма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 xml:space="preserve">лиси миллии </w:t>
      </w:r>
    </w:p>
    <w:p w:rsidR="000D60B4" w:rsidRDefault="00377532" w:rsidP="000D60B4">
      <w:pPr>
        <w:pStyle w:val="a7"/>
        <w:jc w:val="center"/>
        <w:rPr>
          <w:sz w:val="32"/>
          <w:szCs w:val="32"/>
        </w:rPr>
      </w:pPr>
      <w:r w:rsidRPr="00590630">
        <w:rPr>
          <w:caps w:val="0"/>
          <w:sz w:val="32"/>
          <w:szCs w:val="32"/>
        </w:rPr>
        <w:t>Ма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 xml:space="preserve">лиси Олии 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ум</w:t>
      </w:r>
      <w:r>
        <w:rPr>
          <w:caps w:val="0"/>
          <w:sz w:val="32"/>
          <w:szCs w:val="32"/>
        </w:rPr>
        <w:t>ҳ</w:t>
      </w:r>
      <w:r w:rsidRPr="00590630">
        <w:rPr>
          <w:caps w:val="0"/>
          <w:sz w:val="32"/>
          <w:szCs w:val="32"/>
        </w:rPr>
        <w:t>урии То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ик</w:t>
      </w:r>
      <w:bookmarkStart w:id="0" w:name="_GoBack"/>
      <w:bookmarkEnd w:id="0"/>
      <w:r w:rsidRPr="00590630">
        <w:rPr>
          <w:caps w:val="0"/>
          <w:sz w:val="32"/>
          <w:szCs w:val="32"/>
        </w:rPr>
        <w:t>истон</w:t>
      </w:r>
    </w:p>
    <w:p w:rsidR="000D60B4" w:rsidRPr="00590630" w:rsidRDefault="000D60B4" w:rsidP="000D60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Оид ба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«Дар бораи сиёсати давлат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аи саноат»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 миллии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и­кистон «Дар бораи сиёсати давлат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аи </w:t>
      </w:r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саноат»-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 баррас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намуда,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 мекунад: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и­кистон «Дар бораи сиёсати давлат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аи саноат»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онибдор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шавад.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миллии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Олии</w:t>
      </w:r>
    </w:p>
    <w:p w:rsidR="000D60B4" w:rsidRPr="00590630" w:rsidRDefault="000D60B4" w:rsidP="000D60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292929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    М. </w:t>
      </w:r>
      <w:r w:rsidRPr="00590630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0D60B4" w:rsidRDefault="000D60B4" w:rsidP="000D60B4">
      <w:pPr>
        <w:pStyle w:val="a7"/>
        <w:jc w:val="center"/>
        <w:rPr>
          <w:rFonts w:ascii="Arial Tj  Bold" w:hAnsi="Arial Tj  Bold" w:cs="Arial Tj  Bold"/>
          <w:caps w:val="0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w w:val="100"/>
          <w:sz w:val="18"/>
          <w:szCs w:val="18"/>
        </w:rPr>
        <w:t>ш. Душанбе, 18 майи соли 2017, № 384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B4"/>
    <w:rsid w:val="00000B63"/>
    <w:rsid w:val="000D60B4"/>
    <w:rsid w:val="000D75B9"/>
    <w:rsid w:val="00377532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93C1-18A1-4122-B435-DD815BAA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B4"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D60B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Лид"/>
    <w:basedOn w:val="a3"/>
    <w:uiPriority w:val="99"/>
    <w:rsid w:val="000D60B4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5">
    <w:name w:val="НОМ"/>
    <w:basedOn w:val="a"/>
    <w:uiPriority w:val="99"/>
    <w:rsid w:val="000D60B4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  Bold" w:hAnsi="Arial Tj  Bold" w:cs="Arial Tj  Bold"/>
      <w:b/>
      <w:bCs/>
      <w:color w:val="000000"/>
      <w:sz w:val="18"/>
      <w:szCs w:val="18"/>
      <w:lang w:val="ru-RU"/>
    </w:rPr>
  </w:style>
  <w:style w:type="paragraph" w:customStyle="1" w:styleId="a6">
    <w:name w:val="Ном таг"/>
    <w:basedOn w:val="a5"/>
    <w:uiPriority w:val="99"/>
    <w:rsid w:val="000D60B4"/>
    <w:pPr>
      <w:pBdr>
        <w:top w:val="none" w:sz="0" w:space="0" w:color="auto"/>
      </w:pBdr>
    </w:pPr>
  </w:style>
  <w:style w:type="paragraph" w:customStyle="1" w:styleId="a7">
    <w:name w:val="Заголовок сет"/>
    <w:basedOn w:val="a"/>
    <w:uiPriority w:val="99"/>
    <w:rsid w:val="000D60B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8">
    <w:name w:val="Сарлавха нав"/>
    <w:basedOn w:val="a3"/>
    <w:uiPriority w:val="99"/>
    <w:rsid w:val="000D60B4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  <w:style w:type="character" w:styleId="a9">
    <w:name w:val="Strong"/>
    <w:basedOn w:val="a0"/>
    <w:uiPriority w:val="99"/>
    <w:qFormat/>
    <w:rsid w:val="000D60B4"/>
    <w:rPr>
      <w:b/>
      <w:bCs/>
      <w:color w:val="000000"/>
      <w:w w:val="100"/>
    </w:rPr>
  </w:style>
  <w:style w:type="character" w:customStyle="1" w:styleId="s0">
    <w:name w:val="s0"/>
    <w:uiPriority w:val="99"/>
    <w:rsid w:val="000D60B4"/>
    <w:rPr>
      <w:rFonts w:ascii="Times New Roman" w:hAnsi="Times New Roman" w:cs="Times New Roman"/>
      <w:color w:val="000000"/>
      <w:w w:val="100"/>
    </w:rPr>
  </w:style>
  <w:style w:type="character" w:customStyle="1" w:styleId="s1">
    <w:name w:val="s1"/>
    <w:uiPriority w:val="99"/>
    <w:rsid w:val="000D60B4"/>
    <w:rPr>
      <w:rFonts w:ascii="Times New Roman" w:hAnsi="Times New Roman" w:cs="Times New Roman"/>
      <w:b/>
      <w:bCs/>
      <w:color w:val="000000"/>
      <w:w w:val="100"/>
    </w:rPr>
  </w:style>
  <w:style w:type="character" w:customStyle="1" w:styleId="apple-converted-space">
    <w:name w:val="apple-converted-space"/>
    <w:uiPriority w:val="99"/>
    <w:rsid w:val="000D60B4"/>
    <w:rPr>
      <w:rFonts w:ascii="Times New Roman" w:hAnsi="Times New Roman" w:cs="Times New Roman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3078</Words>
  <Characters>17549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2017-06-02T14:31:00Z</dcterms:created>
  <dcterms:modified xsi:type="dcterms:W3CDTF">2017-06-02T14:34:00Z</dcterms:modified>
</cp:coreProperties>
</file>