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1C7DC3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1C7DC3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1C7DC3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1C7DC3" w:rsidRPr="001C7DC3" w:rsidRDefault="001C7DC3" w:rsidP="001C7DC3">
      <w:pPr>
        <w:pStyle w:val="a3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1C7DC3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«ДАР БОРАИ БА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ОЛАТИ ША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РВАНД</w:t>
      </w:r>
      <w:r>
        <w:rPr>
          <w:rFonts w:ascii="Palatino Linotype" w:hAnsi="Palatino Linotype"/>
          <w:sz w:val="24"/>
          <w:szCs w:val="24"/>
        </w:rPr>
        <w:t>Ӣ</w:t>
      </w:r>
      <w:r w:rsidRPr="001C7DC3">
        <w:rPr>
          <w:rFonts w:ascii="Palatino Linotype" w:hAnsi="Palatino Linotype"/>
          <w:sz w:val="24"/>
          <w:szCs w:val="24"/>
        </w:rPr>
        <w:t>»</w:t>
      </w:r>
    </w:p>
    <w:p w:rsidR="005E12AA" w:rsidRPr="001C7DC3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1C7DC3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1C7DC3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67A48" w:rsidRPr="001C7DC3" w:rsidRDefault="00467A48" w:rsidP="00467A48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1C7DC3" w:rsidRPr="001C7DC3" w:rsidRDefault="001C7DC3" w:rsidP="001C7DC3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 xml:space="preserve">Дар бораи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1C7DC3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икистон «Дар бораи ба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рванд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z w:val="24"/>
          <w:szCs w:val="24"/>
        </w:rPr>
        <w:t>»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1C7DC3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«Дар бораи ба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олати ша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рванд</w:t>
      </w:r>
      <w:r>
        <w:rPr>
          <w:rFonts w:ascii="Palatino Linotype" w:hAnsi="Palatino Linotype"/>
          <w:sz w:val="24"/>
          <w:szCs w:val="24"/>
        </w:rPr>
        <w:t>ӣ</w:t>
      </w:r>
      <w:r w:rsidRPr="001C7DC3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>абул карда 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 xml:space="preserve">     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икистон             Ш.ЗУ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1C7DC3" w:rsidRPr="001C7DC3" w:rsidRDefault="001C7DC3" w:rsidP="001C7DC3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1C7DC3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1C7DC3">
        <w:rPr>
          <w:rFonts w:ascii="Palatino Linotype" w:hAnsi="Palatino Linotype"/>
          <w:b/>
          <w:bCs/>
          <w:sz w:val="24"/>
          <w:szCs w:val="24"/>
        </w:rPr>
        <w:t>ушанбе, 14 январи соли 2015 №1732</w:t>
      </w:r>
    </w:p>
    <w:p w:rsidR="00FA3EF9" w:rsidRPr="001C7DC3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1C7DC3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1C7DC3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Қарори</w:t>
      </w:r>
    </w:p>
    <w:p w:rsidR="005E12AA" w:rsidRPr="001C7DC3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FA3EF9" w:rsidRPr="001C7DC3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C7DC3" w:rsidRPr="001C7DC3" w:rsidRDefault="001C7DC3" w:rsidP="001C7DC3">
      <w:pPr>
        <w:pStyle w:val="a4"/>
        <w:suppressAutoHyphens/>
        <w:ind w:left="283" w:right="283" w:firstLine="0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 xml:space="preserve">Дар бораи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1C7DC3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икистон «Дар бораи ба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рванд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z w:val="24"/>
          <w:szCs w:val="24"/>
        </w:rPr>
        <w:t>»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1C7DC3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«Дар бораи ба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олати ша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рванд</w:t>
      </w:r>
      <w:r>
        <w:rPr>
          <w:rFonts w:ascii="Palatino Linotype" w:hAnsi="Palatino Linotype"/>
          <w:sz w:val="24"/>
          <w:szCs w:val="24"/>
        </w:rPr>
        <w:t>ӣ</w:t>
      </w:r>
      <w:proofErr w:type="gramStart"/>
      <w:r w:rsidRPr="001C7DC3">
        <w:rPr>
          <w:rFonts w:ascii="Palatino Linotype" w:hAnsi="Palatino Linotype"/>
          <w:sz w:val="24"/>
          <w:szCs w:val="24"/>
        </w:rPr>
        <w:t>»-</w:t>
      </w:r>
      <w:proofErr w:type="gramEnd"/>
      <w:r w:rsidRPr="001C7DC3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1C7DC3">
        <w:rPr>
          <w:rFonts w:ascii="Palatino Linotype" w:hAnsi="Palatino Linotype"/>
          <w:sz w:val="24"/>
          <w:szCs w:val="24"/>
        </w:rPr>
        <w:t xml:space="preserve"> намуда,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1C7DC3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икистон «Дар бораи ба</w:t>
      </w:r>
      <w:r>
        <w:rPr>
          <w:rFonts w:ascii="Palatino Linotype" w:hAnsi="Palatino Linotype"/>
          <w:sz w:val="24"/>
          <w:szCs w:val="24"/>
        </w:rPr>
        <w:t>қ</w:t>
      </w:r>
      <w:r w:rsidRPr="001C7DC3">
        <w:rPr>
          <w:rFonts w:ascii="Palatino Linotype" w:hAnsi="Palatino Linotype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олати ша</w:t>
      </w:r>
      <w:r>
        <w:rPr>
          <w:rFonts w:ascii="Palatino Linotype" w:hAnsi="Palatino Linotype"/>
          <w:sz w:val="24"/>
          <w:szCs w:val="24"/>
        </w:rPr>
        <w:t>ҳ</w:t>
      </w:r>
      <w:r w:rsidRPr="001C7DC3">
        <w:rPr>
          <w:rFonts w:ascii="Palatino Linotype" w:hAnsi="Palatino Linotype"/>
          <w:sz w:val="24"/>
          <w:szCs w:val="24"/>
        </w:rPr>
        <w:t>рванд</w:t>
      </w:r>
      <w:r>
        <w:rPr>
          <w:rFonts w:ascii="Palatino Linotype" w:hAnsi="Palatino Linotype"/>
          <w:sz w:val="24"/>
          <w:szCs w:val="24"/>
        </w:rPr>
        <w:t>ӣ</w:t>
      </w:r>
      <w:r w:rsidRPr="001C7DC3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ҷ</w:t>
      </w:r>
      <w:r w:rsidRPr="001C7DC3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1C7DC3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 xml:space="preserve">           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1C7DC3" w:rsidRPr="001C7DC3" w:rsidRDefault="001C7DC3" w:rsidP="001C7DC3">
      <w:pPr>
        <w:pStyle w:val="a4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z w:val="24"/>
          <w:szCs w:val="24"/>
        </w:rPr>
        <w:t xml:space="preserve">икистон        М. </w:t>
      </w:r>
      <w:r w:rsidRPr="001C7DC3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  <w:r w:rsidRPr="001C7DC3">
        <w:rPr>
          <w:rFonts w:ascii="Palatino Linotype" w:hAnsi="Palatino Linotype"/>
          <w:sz w:val="24"/>
          <w:szCs w:val="24"/>
        </w:rPr>
        <w:t xml:space="preserve">   </w:t>
      </w:r>
    </w:p>
    <w:p w:rsidR="001C7DC3" w:rsidRPr="001C7DC3" w:rsidRDefault="001C7DC3" w:rsidP="001C7DC3">
      <w:pPr>
        <w:pStyle w:val="a4"/>
        <w:jc w:val="right"/>
        <w:rPr>
          <w:rFonts w:ascii="Palatino Linotype" w:hAnsi="Palatino Linotype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№803</w:t>
      </w:r>
    </w:p>
    <w:p w:rsidR="00467A48" w:rsidRPr="001C7DC3" w:rsidRDefault="00467A48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Моддаи 1.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аз 29 апрели соли 2006 «Дар бораи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» (Ахбори Ма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лиси Олии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икистон, с.2006, №4, мод.201; с.2008, №12,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.2, мод.1017; с.2009, №3, мод.89; с.2011, №3, мод.178; №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6, мод.444)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йиру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зерин ворид карда шаванд:</w:t>
      </w:r>
      <w:proofErr w:type="gramEnd"/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1. Моддаи 4</w:t>
      </w:r>
      <w:r w:rsidRPr="001C7DC3">
        <w:rPr>
          <w:rFonts w:ascii="Palatino Linotype" w:hAnsi="Palatino Linotype"/>
          <w:spacing w:val="5"/>
          <w:sz w:val="24"/>
          <w:szCs w:val="24"/>
          <w:vertAlign w:val="superscript"/>
        </w:rPr>
        <w:t>1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рири зайл ифода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«Моддаи 4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  <w:vertAlign w:val="superscript"/>
        </w:rPr>
        <w:t>1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. Фаъолият дар ма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1. Ба кор дар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икистон, ки муддати шаш 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амчун кором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з фаъолият намудааст, баъд аз гузаштан аз аттестатсияи комиссияи аттестатсион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абул шуда метавонад. Низомномаи комиссияи аттестатсионии Раёсати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рвандии Вазорати адлияи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икистон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ониби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карда мешавад.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2. Ба вазифаи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бари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икистон, ки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силоти олии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шинос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на камтар аз се сол соби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аи кории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дошта бошад, таъин карда мешавад.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3.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бари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рвандиро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бари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оми ваколатдор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онуни мазкур ва дигар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ба вазифа таъин ва аз вазифа озод менамояд.».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2. Дар моддаи 7: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-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исми 1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амин модда, номи моддаи 20,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3 моддаи 21, сархати пан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уми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исми 1 моддаи 47 ва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2 моддаи 67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«ном, номи падар ва фамилияро» ва «ном, номи падар ва фамилияи»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ан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«насаб, ном ва номи падарро» ва «насаб, ном ва номи падари» иваз карда шаванд; </w:t>
      </w:r>
      <w:proofErr w:type="gramEnd"/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 -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2 баъд аз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«а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ди 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«,ба истиснои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ди 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рвандони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бо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рвандони хори</w:t>
      </w:r>
      <w:r>
        <w:rPr>
          <w:rFonts w:ascii="Palatino Linotype" w:hAnsi="Palatino Linotype"/>
          <w:spacing w:val="5"/>
          <w:sz w:val="24"/>
          <w:szCs w:val="24"/>
        </w:rPr>
        <w:t>ҷӣ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шахсони беша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рванд» илова карда шаванд;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3 бо мазмуни зайл илова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«3.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омоте, ки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рвандиро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мегиранд, инчунин дигар хизматрасони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иловагиро ба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 меоранд.».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3.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1 моддаи 9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рири зайл ифода карда шавад: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«1. Вазорати адлияи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оми ваколатдори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барикунандаи фаъолияти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мебошад.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сад, вазифа ва ваколат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Вазорати адлияи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аи идоракунии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бо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онуни мазкур ва дигар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муайян карда мешаванд.».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4.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онун моддаи 11</w:t>
      </w:r>
      <w:r w:rsidRPr="001C7DC3">
        <w:rPr>
          <w:rFonts w:ascii="Palatino Linotype" w:hAnsi="Palatino Linotype"/>
          <w:spacing w:val="5"/>
          <w:sz w:val="24"/>
          <w:szCs w:val="24"/>
          <w:vertAlign w:val="superscript"/>
        </w:rPr>
        <w:t>1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бо мазмуни зайл илова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«Моддаи 11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  <w:vertAlign w:val="superscript"/>
        </w:rPr>
        <w:t>1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. Мабла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гузории ма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lastRenderedPageBreak/>
        <w:t>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арраргардида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исоби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ети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карда мешаванд.».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5. Моддаи 12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рири зайл ифода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«Моддаи 12. Ситонидани </w:t>
      </w:r>
      <w:proofErr w:type="gramStart"/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бо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proofErr w:type="gramEnd"/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давлат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хизматрасонии иловагии музднок барои ба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 овардани амалиёти ба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1.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«Дар бораи бо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» барои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ситонида мешавад.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2.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рвандиро кормандони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шахсони ваколатдор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тан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 баъди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ониби шахсони во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е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од намудани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ати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кунандаи пардохти бо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дигар пардохт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аррарнамудаи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 меоранд.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3. Кормандони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дигар шахсони ваколатдор барои хизматрасони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иловагии музднок, ки бо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ало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аманданд, аз шахсони во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е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пардохти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1C7DC3">
        <w:rPr>
          <w:rFonts w:ascii="Palatino Linotype" w:hAnsi="Palatino Linotype"/>
          <w:spacing w:val="5"/>
          <w:sz w:val="24"/>
          <w:szCs w:val="24"/>
        </w:rPr>
        <w:t>и хизматро меситонанд. Тартиб ва андозаи пардохти хизматрасони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иловагии музднокро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муайян мекунад.».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1C7DC3">
        <w:rPr>
          <w:rFonts w:ascii="Palatino Linotype" w:hAnsi="Palatino Linotype"/>
          <w:spacing w:val="2"/>
          <w:sz w:val="24"/>
          <w:szCs w:val="24"/>
        </w:rPr>
        <w:t xml:space="preserve">6. </w:t>
      </w:r>
      <w:proofErr w:type="gramStart"/>
      <w:r w:rsidRPr="001C7DC3">
        <w:rPr>
          <w:rFonts w:ascii="Palatino Linotype" w:hAnsi="Palatino Linotype"/>
          <w:spacing w:val="2"/>
          <w:sz w:val="24"/>
          <w:szCs w:val="24"/>
        </w:rPr>
        <w:t xml:space="preserve">Дар банди дуюми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 xml:space="preserve">исми 3 моддаи 19,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>исм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 xml:space="preserve">ои 1, 2 ва 4 моддаи 20, моддаи 37, сархати якуми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>исми 1 моддаи 38, моддаи 45, сархати пан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1C7DC3">
        <w:rPr>
          <w:rFonts w:ascii="Palatino Linotype" w:hAnsi="Palatino Linotype"/>
          <w:spacing w:val="2"/>
          <w:sz w:val="24"/>
          <w:szCs w:val="24"/>
        </w:rPr>
        <w:t xml:space="preserve">уми банди дуюм ва банди чоруми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 xml:space="preserve">исми 4 моддаи 59,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>исми 4 моддаи 67, сархати сеюми банди чоруми моддаи 68 ва банд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 xml:space="preserve">ои дуюм ва сеюми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>исми 3 моддаи 72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ои «Фамилияи</w:t>
      </w:r>
      <w:proofErr w:type="gramEnd"/>
      <w:r w:rsidRPr="001C7DC3">
        <w:rPr>
          <w:rFonts w:ascii="Palatino Linotype" w:hAnsi="Palatino Linotype"/>
          <w:spacing w:val="2"/>
          <w:sz w:val="24"/>
          <w:szCs w:val="24"/>
        </w:rPr>
        <w:t>», «фамилияаш», «фамилияи», «фамилия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ои», «фамилияашро», «фамилияе» ва «фамилия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о» мувофи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1C7DC3">
        <w:rPr>
          <w:rFonts w:ascii="Palatino Linotype" w:hAnsi="Palatino Linotype"/>
          <w:spacing w:val="2"/>
          <w:sz w:val="24"/>
          <w:szCs w:val="24"/>
        </w:rPr>
        <w:t>ан ба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ои «Насаби», «насабаш», «насаби», «насаб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ои», «насабашро», «насабе» ва «насаб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1C7DC3">
        <w:rPr>
          <w:rFonts w:ascii="Palatino Linotype" w:hAnsi="Palatino Linotype"/>
          <w:spacing w:val="2"/>
          <w:sz w:val="24"/>
          <w:szCs w:val="24"/>
        </w:rPr>
        <w:t>о» иваз карда шаванд.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7. Моддаи 23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рири зайл ифода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«Моддаи 23. Ба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айдгирии давлатии таваллуди 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даки ба синни як расида ё аз он калонтар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1.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айди давлатии таваллуди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даки ба синни як расида ё аз он калонтар дар асоси аризаи падару модар (яке аз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о) ё шахсони манфиатдор дар сурати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уд будани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ати шакли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арраршуда дар бораи таваллуд, ки аз тарафи муассисаи тибб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ё табиби ба фаъолияти хусус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маш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улбуда дода шудааст, гузаронида мешавад.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ангоми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давлатии таваллуди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даки ба синни як расида  ё аз он калонтар маълумотнома дар бораи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уд набудани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, ки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ониби бойгонии дахлдори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дода шудааст, инчунин маълумотнома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ойи таваллуд,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исти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омати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 ва аз муассисаи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силоти умумие, ки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дак дар он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сил мекунад,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карда мешавад. Маълумотномаи бойгонии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дар асоси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иши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лати пан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сола (соли таваллуди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дак, ду соли пеш ва ду соли баъди таваллуди 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) тартиб дода </w:t>
      </w:r>
      <w:r w:rsidRPr="001C7DC3">
        <w:rPr>
          <w:rFonts w:ascii="Palatino Linotype" w:hAnsi="Palatino Linotype"/>
          <w:spacing w:val="5"/>
          <w:sz w:val="24"/>
          <w:szCs w:val="24"/>
        </w:rPr>
        <w:lastRenderedPageBreak/>
        <w:t xml:space="preserve">шавад.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айди давлатии таваллуди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даки ба синни як расида ё аз он калонтар тан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аз тарафи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рвандии но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ия ва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гузаронида мешавад. 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2.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айди давлатии таваллуди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даке, ки ба бало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ат расидааст, дар асоси аризаи худи 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гузаронида мешавад. Дар ин маврид баробари ариза ба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зерин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 карда мешаванд: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 маълумотнома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исти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омат;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 маълумотнома аз бойгонии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ойи таваллуд ва Раёсати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одатномаи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ди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падару модар;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 нусхаи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ати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кунандаи шахсияти падару модар.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3.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парванда омода намуда, барои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иши шахсияти зикргардида онро ба шуъбаи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дохилии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зисти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 мефиристад. Пас аз гирифтани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авоби хаттии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аи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иш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оид ба рад намудан ё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онеъ гардонидани муро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иати воридгашта хулоса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ия менамояд.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4. Дар сурати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уд набудани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ати шакли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арраршуда дар бораи таваллуд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айди давлатии таваллуди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даки ба синни як расида ва ё аз он калонтар дар асоси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алномаи суд дар бораи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аррар намудани факти таваллуд ба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 оварда мешавад.».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8. Дар моддаи 30: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исми 2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умлаи дуюм бо мазмуни зайл илова карда шавад: «Гузаронидани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лати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арраршуда барои рад кардани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давлатии вафот аз тарафи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асос шуда наметавонад.»;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3 бо мазмуни зайл илова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«3.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вафотро дар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зи муро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иат (дар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уд будани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амаи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зарур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)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менамояд.».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9.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исми 6 моддаи 36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умлаи сеюм бо мазмуни зайл илова карда шавад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:«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Кох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ва хона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ди 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маросими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давлатии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ди 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ро дар вазъияти ботантана тан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дар дохили бино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худ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менамоянд.».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10. Ба моддаи 73: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 дар номи модда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«та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 ва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«та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йирот,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о» иваз карда шаванд;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 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3 бо мазмуни зайл илова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«3. Дар сурати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 шудани ариза дар бораи ворид намудани исло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йирот,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 ба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рвандии ду ва зиёда к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даки ноболи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аз як оила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ониби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барои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амаи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як хулосаи умум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тартиб дода мешавад.».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11.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исми 2 моддаи 79 банди чорум бо мазмуни зайл илова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«Дар баробари ариза дар бораи бар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арор намудани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(ё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ати гумшуда)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зерин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 карда мешаванд: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lastRenderedPageBreak/>
        <w:t>-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ати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кунандаи шахсияти падару модар;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одатномаи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ди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нико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падару модар;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-маълумотнома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исти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омат;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-маълумотномаи бойгон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оид ба набудани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12. Боби 11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рири зайл ифода карда шавад: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«БОБИ 11. БОЙГОНИИ МА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Моддаи 83. Ташаккулёбии фонди бойгонии ма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1. Фонди бойгонии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исоби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китоб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китоб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метрик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ки то ташкил намудан ё аз нав бар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арор кардани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тартиб дода шудаанд, инчунин дигар асноди вобаста ба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йироти ба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воридгардида ташаккул меёбад.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2. Китоб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ки дар он нусха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якуми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амъ оварда,  д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хта,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амгузор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карда ва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гузошта шудаанд, дар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дошта мешаванд.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3. Китоб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айдгирии давлатии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ки дар он нусха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 дуюми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амъ оварда, д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хта,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амгузор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карда ва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гузошта шудаанд, инчунин китоб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метрик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ки то ташкил намудан ё  бар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арор кардани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тартиб дода шудаанд, дар бойгони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вилоят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дошта мешаванд.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4. Нусха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якум ва дуюми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, ки берун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удуди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аз тарафи намояндаги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дипломат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консулии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тартиб дода шудаанд,  баъд аз ба охир расидани сол як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оя бо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ое, ки барои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давлатии маълумоти аснод асос шуда буданд, барои нига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дор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  бойгонии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уриявии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супорида мешаванд.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5. Нусха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дуюми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бо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ами тартиб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намуд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сабти аснод аз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рвандии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ойи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айдгирии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 ба Агентии омори назди Президенти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икистон фиристонида мешаванд.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аз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рвандии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ру но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ба Агентии мазкур воридшуда пас аз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лил дар муддати на дертар аз шаш 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 бойгонии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бойгони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вилоят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баргардонида мешаванд.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6. Тартиби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исоботди</w:t>
      </w:r>
      <w:r>
        <w:rPr>
          <w:rFonts w:ascii="Palatino Linotype" w:hAnsi="Palatino Linotype"/>
          <w:spacing w:val="5"/>
          <w:sz w:val="24"/>
          <w:szCs w:val="24"/>
        </w:rPr>
        <w:t>ҳӣ</w:t>
      </w:r>
      <w:r w:rsidRPr="001C7DC3">
        <w:rPr>
          <w:rFonts w:ascii="Palatino Linotype" w:hAnsi="Palatino Linotype"/>
          <w:spacing w:val="5"/>
          <w:sz w:val="24"/>
          <w:szCs w:val="24"/>
        </w:rPr>
        <w:t>, ворид намудани исло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йирот,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оро ба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дории бойгон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тартиби муро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иат ва додани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1C7DC3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оро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оми ваколатдор оид ба назорат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ангсозии фаъолияти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муайян мекунад.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Моддаи 84. 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лати ниго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дории санад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ои сабти асноди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рванд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lastRenderedPageBreak/>
        <w:t>1. Нусха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ои якуми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дар бойгони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ба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лати  75 сол аз 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1C7DC3">
        <w:rPr>
          <w:rFonts w:ascii="Palatino Linotype" w:hAnsi="Palatino Linotype"/>
          <w:spacing w:val="5"/>
          <w:sz w:val="24"/>
          <w:szCs w:val="24"/>
        </w:rPr>
        <w:t>зи тартиб додани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дошта мешаванд.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>2. Дар навбати худ бойгони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но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>, вилоят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уриявии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олати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ар ду нусхаи сабти аснодро бо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ам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оиса намуда, исло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1C7DC3">
        <w:rPr>
          <w:rFonts w:ascii="Palatino Linotype" w:hAnsi="Palatino Linotype"/>
          <w:spacing w:val="5"/>
          <w:sz w:val="24"/>
          <w:szCs w:val="24"/>
        </w:rPr>
        <w:t>йирот,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 ва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айд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ои заруриро ворид менамоянд, сабти асноди корношоямшударо иваз мекунанд ва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арраргардида ба расмият дароварда,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оро ба Саридораи бойгонии назди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spacing w:val="5"/>
          <w:sz w:val="24"/>
          <w:szCs w:val="24"/>
        </w:rPr>
        <w:t>икистон барои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spacing w:val="5"/>
          <w:sz w:val="24"/>
          <w:szCs w:val="24"/>
        </w:rPr>
        <w:t>дории доим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месупоранд.».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2.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онуни мазкур пас аз интишори расм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spacing w:val="5"/>
          <w:sz w:val="24"/>
          <w:szCs w:val="24"/>
        </w:rPr>
        <w:t xml:space="preserve"> мавриди амал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1C7DC3">
        <w:rPr>
          <w:rFonts w:ascii="Palatino Linotype" w:hAnsi="Palatino Linotype"/>
          <w:spacing w:val="5"/>
          <w:sz w:val="24"/>
          <w:szCs w:val="24"/>
        </w:rPr>
        <w:t>арор дода шавад.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spacing w:val="5"/>
          <w:sz w:val="24"/>
          <w:szCs w:val="24"/>
        </w:rPr>
        <w:t xml:space="preserve">      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Президенти</w:t>
      </w:r>
    </w:p>
    <w:p w:rsidR="001C7DC3" w:rsidRPr="001C7DC3" w:rsidRDefault="001C7DC3" w:rsidP="001C7DC3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урии</w:t>
      </w:r>
      <w:proofErr w:type="gramStart"/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Т</w:t>
      </w:r>
      <w:proofErr w:type="gramEnd"/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икистон                                Эмомал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МОН</w:t>
      </w:r>
    </w:p>
    <w:p w:rsidR="001C7DC3" w:rsidRPr="001C7DC3" w:rsidRDefault="001C7DC3" w:rsidP="001C7DC3">
      <w:pPr>
        <w:pStyle w:val="a4"/>
        <w:jc w:val="right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1C7DC3">
        <w:rPr>
          <w:rFonts w:ascii="Palatino Linotype" w:hAnsi="Palatino Linotype"/>
          <w:b/>
          <w:bCs/>
          <w:spacing w:val="5"/>
          <w:sz w:val="24"/>
          <w:szCs w:val="24"/>
        </w:rPr>
        <w:t>ш. Душанбе, 18 марти соли 2015 №1198</w:t>
      </w:r>
    </w:p>
    <w:p w:rsidR="001C7DC3" w:rsidRPr="001C7DC3" w:rsidRDefault="001C7DC3" w:rsidP="001C7DC3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1C7DC3" w:rsidRPr="001C7DC3" w:rsidRDefault="001C7DC3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467A48" w:rsidRPr="001C7DC3" w:rsidRDefault="00467A48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sectPr w:rsidR="00467A48" w:rsidRPr="001C7DC3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E12AA"/>
    <w:rsid w:val="000B2885"/>
    <w:rsid w:val="00146DDB"/>
    <w:rsid w:val="001C7DC3"/>
    <w:rsid w:val="003555F5"/>
    <w:rsid w:val="00467A48"/>
    <w:rsid w:val="004B1737"/>
    <w:rsid w:val="005E12AA"/>
    <w:rsid w:val="008B74E9"/>
    <w:rsid w:val="0097437B"/>
    <w:rsid w:val="00A67E64"/>
    <w:rsid w:val="00AC300A"/>
    <w:rsid w:val="00BC63CF"/>
    <w:rsid w:val="00CC4543"/>
    <w:rsid w:val="00D3752E"/>
    <w:rsid w:val="00D62DA9"/>
    <w:rsid w:val="00E16815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1869</Words>
  <Characters>10657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2015-03-30T06:51:00Z</dcterms:created>
  <dcterms:modified xsi:type="dcterms:W3CDTF">2015-03-30T07:52:00Z</dcterms:modified>
</cp:coreProperties>
</file>